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CABC4" w14:textId="77777777" w:rsidR="00E376BD" w:rsidRPr="00856F68" w:rsidRDefault="00E376BD" w:rsidP="00353377">
      <w:pPr>
        <w:pStyle w:val="Default"/>
        <w:rPr>
          <w:rFonts w:ascii="Arial" w:hAnsi="Arial" w:cs="Arial"/>
          <w:b/>
          <w:sz w:val="23"/>
          <w:szCs w:val="23"/>
        </w:rPr>
      </w:pPr>
    </w:p>
    <w:p w14:paraId="132663F5" w14:textId="77777777" w:rsidR="002715F6" w:rsidRPr="00856F68" w:rsidRDefault="008F4D27" w:rsidP="00353377">
      <w:pPr>
        <w:pStyle w:val="Default"/>
        <w:rPr>
          <w:rFonts w:ascii="Arial" w:hAnsi="Arial" w:cs="Arial"/>
          <w:b/>
        </w:rPr>
      </w:pPr>
      <w:r>
        <w:rPr>
          <w:rFonts w:ascii="Arial" w:hAnsi="Arial" w:cs="Arial"/>
          <w:b/>
          <w:noProof/>
        </w:rPr>
        <w:object w:dxaOrig="1440" w:dyaOrig="1440" w14:anchorId="1D9F1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4pt;width:34.45pt;height:45pt;z-index:251657216" o:allowincell="f">
            <v:imagedata r:id="rId8" o:title=""/>
            <w10:wrap type="square"/>
          </v:shape>
          <o:OLEObject Type="Embed" ProgID="MSPhotoEd.3" ShapeID="_x0000_s1028" DrawAspect="Content" ObjectID="_1617445641" r:id="rId9"/>
        </w:object>
      </w:r>
      <w:r w:rsidR="002715F6" w:rsidRPr="00856F68">
        <w:rPr>
          <w:rFonts w:ascii="Arial" w:hAnsi="Arial" w:cs="Arial"/>
          <w:b/>
        </w:rPr>
        <w:t>McMaster University School of Social Work</w:t>
      </w:r>
    </w:p>
    <w:p w14:paraId="42D57B1B" w14:textId="77777777" w:rsidR="00353377" w:rsidRPr="00856F68" w:rsidRDefault="0088454B" w:rsidP="003F60FC">
      <w:pPr>
        <w:pStyle w:val="Default"/>
        <w:rPr>
          <w:rFonts w:ascii="Arial" w:hAnsi="Arial" w:cs="Arial"/>
          <w:b/>
        </w:rPr>
      </w:pPr>
      <w:r>
        <w:rPr>
          <w:rFonts w:ascii="Arial" w:hAnsi="Arial" w:cs="Arial"/>
          <w:b/>
        </w:rPr>
        <w:t>SW7</w:t>
      </w:r>
      <w:r w:rsidR="00657D23">
        <w:rPr>
          <w:rFonts w:ascii="Arial" w:hAnsi="Arial" w:cs="Arial"/>
          <w:b/>
        </w:rPr>
        <w:t>43</w:t>
      </w:r>
      <w:r>
        <w:rPr>
          <w:rFonts w:ascii="Arial" w:hAnsi="Arial" w:cs="Arial"/>
          <w:b/>
        </w:rPr>
        <w:t xml:space="preserve">: </w:t>
      </w:r>
      <w:r w:rsidRPr="002A006E">
        <w:rPr>
          <w:rStyle w:val="Emphasis"/>
          <w:rFonts w:cs="Helvetica"/>
          <w:b/>
        </w:rPr>
        <w:t>Critical Approaches to Evidence and Evaluation in Social Services and Communities</w:t>
      </w:r>
    </w:p>
    <w:p w14:paraId="12E09121" w14:textId="77777777" w:rsidR="00353377" w:rsidRPr="00856F68" w:rsidRDefault="002669ED" w:rsidP="003F60FC">
      <w:pPr>
        <w:pStyle w:val="Default"/>
        <w:rPr>
          <w:rFonts w:ascii="Arial" w:hAnsi="Arial" w:cs="Arial"/>
        </w:rPr>
      </w:pPr>
      <w:r>
        <w:rPr>
          <w:rFonts w:ascii="Arial" w:hAnsi="Arial" w:cs="Arial"/>
        </w:rPr>
        <w:t>May 6</w:t>
      </w:r>
      <w:r w:rsidR="00275856">
        <w:rPr>
          <w:rFonts w:ascii="Arial" w:hAnsi="Arial" w:cs="Arial"/>
        </w:rPr>
        <w:t xml:space="preserve"> –</w:t>
      </w:r>
      <w:r w:rsidR="00657D23">
        <w:rPr>
          <w:rFonts w:ascii="Arial" w:hAnsi="Arial" w:cs="Arial"/>
        </w:rPr>
        <w:t xml:space="preserve"> June</w:t>
      </w:r>
      <w:r w:rsidR="00275856">
        <w:rPr>
          <w:rFonts w:ascii="Arial" w:hAnsi="Arial" w:cs="Arial"/>
        </w:rPr>
        <w:t xml:space="preserve"> </w:t>
      </w:r>
      <w:r w:rsidR="00DB162D">
        <w:rPr>
          <w:rFonts w:ascii="Arial" w:hAnsi="Arial" w:cs="Arial"/>
        </w:rPr>
        <w:t>20</w:t>
      </w:r>
      <w:r w:rsidR="00856F68">
        <w:rPr>
          <w:rFonts w:ascii="Arial" w:hAnsi="Arial" w:cs="Arial"/>
        </w:rPr>
        <w:t xml:space="preserve">, </w:t>
      </w:r>
      <w:r w:rsidR="0088454B">
        <w:rPr>
          <w:rFonts w:ascii="Arial" w:hAnsi="Arial" w:cs="Arial"/>
        </w:rPr>
        <w:t>201</w:t>
      </w:r>
      <w:r w:rsidR="00DB162D">
        <w:rPr>
          <w:rFonts w:ascii="Arial" w:hAnsi="Arial" w:cs="Arial"/>
        </w:rPr>
        <w:t>9</w:t>
      </w:r>
      <w:r w:rsidR="0088454B">
        <w:rPr>
          <w:rFonts w:ascii="Arial" w:hAnsi="Arial" w:cs="Arial"/>
        </w:rPr>
        <w:t>,</w:t>
      </w:r>
      <w:r w:rsidR="000D7A37" w:rsidRPr="00856F68">
        <w:rPr>
          <w:rFonts w:ascii="Arial" w:hAnsi="Arial" w:cs="Arial"/>
        </w:rPr>
        <w:t xml:space="preserve"> </w:t>
      </w:r>
      <w:r w:rsidR="00275856">
        <w:rPr>
          <w:rFonts w:ascii="Arial" w:hAnsi="Arial" w:cs="Arial"/>
        </w:rPr>
        <w:t>Mondays</w:t>
      </w:r>
      <w:bookmarkStart w:id="0" w:name="_GoBack"/>
      <w:bookmarkEnd w:id="0"/>
      <w:r w:rsidR="00275856">
        <w:rPr>
          <w:rFonts w:ascii="Arial" w:hAnsi="Arial" w:cs="Arial"/>
        </w:rPr>
        <w:t xml:space="preserve"> </w:t>
      </w:r>
      <w:r w:rsidR="00657D23">
        <w:rPr>
          <w:rFonts w:ascii="Arial" w:hAnsi="Arial" w:cs="Arial"/>
        </w:rPr>
        <w:t>&amp; Thursdays 4:</w:t>
      </w:r>
      <w:r w:rsidR="00DB162D">
        <w:rPr>
          <w:rFonts w:ascii="Arial" w:hAnsi="Arial" w:cs="Arial"/>
        </w:rPr>
        <w:t>30</w:t>
      </w:r>
      <w:r w:rsidR="00657D23">
        <w:rPr>
          <w:rFonts w:ascii="Arial" w:hAnsi="Arial" w:cs="Arial"/>
        </w:rPr>
        <w:t>-7:</w:t>
      </w:r>
      <w:r w:rsidR="00DB162D">
        <w:rPr>
          <w:rFonts w:ascii="Arial" w:hAnsi="Arial" w:cs="Arial"/>
        </w:rPr>
        <w:t>20</w:t>
      </w:r>
      <w:r w:rsidR="00657D23">
        <w:rPr>
          <w:rFonts w:ascii="Arial" w:hAnsi="Arial" w:cs="Arial"/>
        </w:rPr>
        <w:t xml:space="preserve"> p.m.</w:t>
      </w:r>
      <w:r w:rsidR="00DB162D">
        <w:rPr>
          <w:rFonts w:ascii="Arial" w:hAnsi="Arial" w:cs="Arial"/>
        </w:rPr>
        <w:t xml:space="preserve"> LRW 3001</w:t>
      </w:r>
    </w:p>
    <w:p w14:paraId="4C2C5C0E" w14:textId="77777777" w:rsidR="002C6ABB" w:rsidRPr="00856F68" w:rsidRDefault="003F60FC" w:rsidP="0088454B">
      <w:pPr>
        <w:pStyle w:val="Default"/>
        <w:ind w:left="993"/>
        <w:rPr>
          <w:rFonts w:ascii="Arial" w:hAnsi="Arial" w:cs="Arial"/>
        </w:rPr>
      </w:pPr>
      <w:r w:rsidRPr="00856F68">
        <w:rPr>
          <w:rFonts w:ascii="Arial" w:hAnsi="Arial" w:cs="Arial"/>
        </w:rPr>
        <w:t>Instructor:</w:t>
      </w:r>
      <w:r w:rsidR="0088454B">
        <w:rPr>
          <w:rFonts w:ascii="Arial" w:hAnsi="Arial" w:cs="Arial"/>
        </w:rPr>
        <w:t xml:space="preserve"> Stephanie Baker Collins</w:t>
      </w:r>
    </w:p>
    <w:p w14:paraId="5CD46059" w14:textId="77777777" w:rsidR="003F60FC" w:rsidRDefault="0088454B" w:rsidP="0088454B">
      <w:pPr>
        <w:pStyle w:val="Default"/>
        <w:ind w:left="993"/>
        <w:rPr>
          <w:rFonts w:ascii="Arial" w:hAnsi="Arial" w:cs="Arial"/>
        </w:rPr>
      </w:pPr>
      <w:r>
        <w:rPr>
          <w:rFonts w:ascii="Arial" w:hAnsi="Arial" w:cs="Arial"/>
        </w:rPr>
        <w:t>Office: KTH-324</w:t>
      </w:r>
    </w:p>
    <w:p w14:paraId="5A811950" w14:textId="77777777" w:rsidR="005C0205" w:rsidRPr="00856F68" w:rsidRDefault="007C1BA1" w:rsidP="0088454B">
      <w:pPr>
        <w:pStyle w:val="Default"/>
        <w:ind w:left="993"/>
        <w:rPr>
          <w:rFonts w:ascii="Arial" w:hAnsi="Arial" w:cs="Arial"/>
        </w:rPr>
      </w:pPr>
      <w:r>
        <w:rPr>
          <w:rFonts w:ascii="Arial" w:hAnsi="Arial" w:cs="Arial"/>
        </w:rPr>
        <w:t xml:space="preserve">Office hours: </w:t>
      </w:r>
      <w:r w:rsidR="0088454B">
        <w:rPr>
          <w:rFonts w:ascii="Arial" w:hAnsi="Arial" w:cs="Arial"/>
        </w:rPr>
        <w:t>By appointment</w:t>
      </w:r>
    </w:p>
    <w:p w14:paraId="25B4E9E1" w14:textId="77777777" w:rsidR="0088454B" w:rsidRDefault="003F60FC" w:rsidP="0088454B">
      <w:pPr>
        <w:pStyle w:val="Default"/>
        <w:ind w:left="993"/>
        <w:rPr>
          <w:rFonts w:ascii="Arial" w:hAnsi="Arial" w:cs="Arial"/>
        </w:rPr>
      </w:pPr>
      <w:r w:rsidRPr="00856F68">
        <w:rPr>
          <w:rFonts w:ascii="Arial" w:hAnsi="Arial" w:cs="Arial"/>
        </w:rPr>
        <w:t>Email:</w:t>
      </w:r>
      <w:r w:rsidR="0088454B">
        <w:rPr>
          <w:rFonts w:ascii="Arial" w:hAnsi="Arial" w:cs="Arial"/>
        </w:rPr>
        <w:t xml:space="preserve"> sbcollins@mcmaster.ca</w:t>
      </w:r>
    </w:p>
    <w:p w14:paraId="287D3215" w14:textId="77777777" w:rsidR="006F4CDE" w:rsidRPr="007C1BA1" w:rsidRDefault="0088454B" w:rsidP="005D6D92">
      <w:pPr>
        <w:pStyle w:val="Default"/>
        <w:spacing w:after="480"/>
        <w:ind w:left="994"/>
        <w:rPr>
          <w:rFonts w:ascii="Arial" w:hAnsi="Arial" w:cs="Arial"/>
        </w:rPr>
      </w:pPr>
      <w:r>
        <w:rPr>
          <w:rFonts w:ascii="Arial" w:hAnsi="Arial" w:cs="Arial"/>
        </w:rPr>
        <w:t>Phone: 905-525-9140 ext. 23779</w:t>
      </w:r>
    </w:p>
    <w:p w14:paraId="65F72532" w14:textId="77777777" w:rsidR="006F4CDE" w:rsidRPr="005D6D92" w:rsidRDefault="0088454B" w:rsidP="005D6D92">
      <w:pPr>
        <w:spacing w:after="0"/>
        <w:jc w:val="center"/>
        <w:rPr>
          <w:rFonts w:cs="Arial"/>
          <w:lang w:val="en-GB"/>
        </w:rPr>
      </w:pPr>
      <w:r w:rsidRPr="005D6D92">
        <w:rPr>
          <w:rFonts w:cs="Arial"/>
          <w:lang w:val="en-GB"/>
        </w:rPr>
        <w:t>Table of Contents</w:t>
      </w:r>
    </w:p>
    <w:p w14:paraId="7E875B1B" w14:textId="0CFEEB2F" w:rsidR="002F0E18" w:rsidRPr="002F0E18" w:rsidRDefault="005D6D92" w:rsidP="002F0E18">
      <w:pPr>
        <w:pStyle w:val="TOC1"/>
        <w:tabs>
          <w:tab w:val="right" w:leader="dot" w:pos="9350"/>
        </w:tabs>
        <w:spacing w:after="0"/>
        <w:rPr>
          <w:rFonts w:ascii="Arial" w:eastAsiaTheme="minorEastAsia" w:hAnsi="Arial" w:cs="Arial"/>
          <w:noProof/>
          <w:sz w:val="22"/>
          <w:szCs w:val="22"/>
        </w:rPr>
      </w:pPr>
      <w:r w:rsidRPr="002F0E18">
        <w:rPr>
          <w:rFonts w:ascii="Arial" w:hAnsi="Arial" w:cs="Arial"/>
        </w:rPr>
        <w:fldChar w:fldCharType="begin"/>
      </w:r>
      <w:r w:rsidRPr="002F0E18">
        <w:rPr>
          <w:rFonts w:ascii="Arial" w:hAnsi="Arial" w:cs="Arial"/>
        </w:rPr>
        <w:instrText xml:space="preserve"> TOC \o "1-2" \h \z </w:instrText>
      </w:r>
      <w:r w:rsidRPr="002F0E18">
        <w:rPr>
          <w:rFonts w:ascii="Arial" w:hAnsi="Arial" w:cs="Arial"/>
        </w:rPr>
        <w:fldChar w:fldCharType="separate"/>
      </w:r>
      <w:hyperlink w:anchor="_Toc6832885" w:history="1">
        <w:r w:rsidR="002F0E18" w:rsidRPr="002F0E18">
          <w:rPr>
            <w:rStyle w:val="Hyperlink"/>
            <w:rFonts w:ascii="Arial" w:hAnsi="Arial" w:cs="Arial"/>
            <w:noProof/>
          </w:rPr>
          <w:t>Course Overview</w:t>
        </w:r>
        <w:r w:rsidR="002F0E18" w:rsidRPr="002F0E18">
          <w:rPr>
            <w:rFonts w:ascii="Arial" w:hAnsi="Arial" w:cs="Arial"/>
            <w:noProof/>
            <w:webHidden/>
          </w:rPr>
          <w:tab/>
        </w:r>
        <w:r w:rsidR="002F0E18" w:rsidRPr="002F0E18">
          <w:rPr>
            <w:rFonts w:ascii="Arial" w:hAnsi="Arial" w:cs="Arial"/>
            <w:noProof/>
            <w:webHidden/>
          </w:rPr>
          <w:fldChar w:fldCharType="begin"/>
        </w:r>
        <w:r w:rsidR="002F0E18" w:rsidRPr="002F0E18">
          <w:rPr>
            <w:rFonts w:ascii="Arial" w:hAnsi="Arial" w:cs="Arial"/>
            <w:noProof/>
            <w:webHidden/>
          </w:rPr>
          <w:instrText xml:space="preserve"> PAGEREF _Toc6832885 \h </w:instrText>
        </w:r>
        <w:r w:rsidR="002F0E18" w:rsidRPr="002F0E18">
          <w:rPr>
            <w:rFonts w:ascii="Arial" w:hAnsi="Arial" w:cs="Arial"/>
            <w:noProof/>
            <w:webHidden/>
          </w:rPr>
        </w:r>
        <w:r w:rsidR="002F0E18" w:rsidRPr="002F0E18">
          <w:rPr>
            <w:rFonts w:ascii="Arial" w:hAnsi="Arial" w:cs="Arial"/>
            <w:noProof/>
            <w:webHidden/>
          </w:rPr>
          <w:fldChar w:fldCharType="separate"/>
        </w:r>
        <w:r w:rsidR="002F0E18" w:rsidRPr="002F0E18">
          <w:rPr>
            <w:rFonts w:ascii="Arial" w:hAnsi="Arial" w:cs="Arial"/>
            <w:noProof/>
            <w:webHidden/>
          </w:rPr>
          <w:t>2</w:t>
        </w:r>
        <w:r w:rsidR="002F0E18" w:rsidRPr="002F0E18">
          <w:rPr>
            <w:rFonts w:ascii="Arial" w:hAnsi="Arial" w:cs="Arial"/>
            <w:noProof/>
            <w:webHidden/>
          </w:rPr>
          <w:fldChar w:fldCharType="end"/>
        </w:r>
      </w:hyperlink>
    </w:p>
    <w:p w14:paraId="29BF1698" w14:textId="24D3046F" w:rsidR="002F0E18" w:rsidRPr="002F0E18" w:rsidRDefault="002F0E18" w:rsidP="002F0E18">
      <w:pPr>
        <w:pStyle w:val="TOC2"/>
        <w:tabs>
          <w:tab w:val="right" w:leader="dot" w:pos="9350"/>
        </w:tabs>
        <w:spacing w:after="0"/>
        <w:rPr>
          <w:rFonts w:ascii="Arial" w:eastAsiaTheme="minorEastAsia" w:hAnsi="Arial" w:cs="Arial"/>
          <w:noProof/>
        </w:rPr>
      </w:pPr>
      <w:hyperlink w:anchor="_Toc6832886" w:history="1">
        <w:r w:rsidRPr="002F0E18">
          <w:rPr>
            <w:rStyle w:val="Hyperlink"/>
            <w:rFonts w:ascii="Arial" w:hAnsi="Arial" w:cs="Arial"/>
            <w:noProof/>
          </w:rPr>
          <w:t>Course Description:</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_Toc6832886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2</w:t>
        </w:r>
        <w:r w:rsidRPr="002F0E18">
          <w:rPr>
            <w:rFonts w:ascii="Arial" w:hAnsi="Arial" w:cs="Arial"/>
            <w:noProof/>
            <w:webHidden/>
          </w:rPr>
          <w:fldChar w:fldCharType="end"/>
        </w:r>
      </w:hyperlink>
    </w:p>
    <w:p w14:paraId="22D27B65" w14:textId="1E46AD23" w:rsidR="002F0E18" w:rsidRPr="002F0E18" w:rsidRDefault="002F0E18" w:rsidP="002F0E18">
      <w:pPr>
        <w:pStyle w:val="TOC2"/>
        <w:tabs>
          <w:tab w:val="right" w:leader="dot" w:pos="9350"/>
        </w:tabs>
        <w:spacing w:after="0"/>
        <w:rPr>
          <w:rFonts w:ascii="Arial" w:eastAsiaTheme="minorEastAsia" w:hAnsi="Arial" w:cs="Arial"/>
          <w:noProof/>
        </w:rPr>
      </w:pPr>
      <w:hyperlink w:anchor="_Toc6832887" w:history="1">
        <w:r w:rsidRPr="002F0E18">
          <w:rPr>
            <w:rStyle w:val="Hyperlink"/>
            <w:rFonts w:ascii="Arial" w:eastAsia="MS Gothic" w:hAnsi="Arial" w:cs="Arial"/>
            <w:noProof/>
          </w:rPr>
          <w:t>Course Objectives: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_Toc6832887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2</w:t>
        </w:r>
        <w:r w:rsidRPr="002F0E18">
          <w:rPr>
            <w:rFonts w:ascii="Arial" w:hAnsi="Arial" w:cs="Arial"/>
            <w:noProof/>
            <w:webHidden/>
          </w:rPr>
          <w:fldChar w:fldCharType="end"/>
        </w:r>
      </w:hyperlink>
    </w:p>
    <w:p w14:paraId="7FD491AD" w14:textId="43B1D893" w:rsidR="002F0E18" w:rsidRPr="002F0E18" w:rsidRDefault="002F0E18" w:rsidP="002F0E18">
      <w:pPr>
        <w:pStyle w:val="TOC2"/>
        <w:tabs>
          <w:tab w:val="right" w:leader="dot" w:pos="9350"/>
        </w:tabs>
        <w:spacing w:after="0"/>
        <w:rPr>
          <w:rFonts w:ascii="Arial" w:eastAsiaTheme="minorEastAsia" w:hAnsi="Arial" w:cs="Arial"/>
          <w:noProof/>
        </w:rPr>
      </w:pPr>
      <w:hyperlink w:anchor="_Toc6832888" w:history="1">
        <w:r w:rsidRPr="002F0E18">
          <w:rPr>
            <w:rStyle w:val="Hyperlink"/>
            <w:rFonts w:ascii="Arial" w:eastAsia="Calibri" w:hAnsi="Arial" w:cs="Arial"/>
            <w:noProof/>
          </w:rPr>
          <w:t>Course Format</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_Toc6832888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3</w:t>
        </w:r>
        <w:r w:rsidRPr="002F0E18">
          <w:rPr>
            <w:rFonts w:ascii="Arial" w:hAnsi="Arial" w:cs="Arial"/>
            <w:noProof/>
            <w:webHidden/>
          </w:rPr>
          <w:fldChar w:fldCharType="end"/>
        </w:r>
      </w:hyperlink>
    </w:p>
    <w:p w14:paraId="18E59EB3" w14:textId="574D48B0" w:rsidR="002F0E18" w:rsidRPr="002F0E18" w:rsidRDefault="002F0E18" w:rsidP="002F0E18">
      <w:pPr>
        <w:pStyle w:val="TOC2"/>
        <w:tabs>
          <w:tab w:val="right" w:leader="dot" w:pos="9350"/>
        </w:tabs>
        <w:spacing w:after="0"/>
        <w:rPr>
          <w:rFonts w:ascii="Arial" w:eastAsiaTheme="minorEastAsia" w:hAnsi="Arial" w:cs="Arial"/>
          <w:noProof/>
        </w:rPr>
      </w:pPr>
      <w:hyperlink w:anchor="_Toc6832889" w:history="1">
        <w:r w:rsidRPr="002F0E18">
          <w:rPr>
            <w:rStyle w:val="Hyperlink"/>
            <w:rFonts w:ascii="Arial" w:hAnsi="Arial" w:cs="Arial"/>
            <w:noProof/>
          </w:rPr>
          <w:t>Required Texts: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_Toc6832889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3</w:t>
        </w:r>
        <w:r w:rsidRPr="002F0E18">
          <w:rPr>
            <w:rFonts w:ascii="Arial" w:hAnsi="Arial" w:cs="Arial"/>
            <w:noProof/>
            <w:webHidden/>
          </w:rPr>
          <w:fldChar w:fldCharType="end"/>
        </w:r>
      </w:hyperlink>
    </w:p>
    <w:p w14:paraId="3C05EE74" w14:textId="41C36C7E" w:rsidR="002F0E18" w:rsidRPr="002F0E18" w:rsidRDefault="002F0E18" w:rsidP="002F0E18">
      <w:pPr>
        <w:pStyle w:val="TOC1"/>
        <w:tabs>
          <w:tab w:val="right" w:leader="dot" w:pos="9350"/>
        </w:tabs>
        <w:spacing w:after="0"/>
        <w:rPr>
          <w:rFonts w:ascii="Arial" w:eastAsiaTheme="minorEastAsia" w:hAnsi="Arial" w:cs="Arial"/>
          <w:noProof/>
          <w:sz w:val="22"/>
          <w:szCs w:val="22"/>
        </w:rPr>
      </w:pPr>
      <w:hyperlink w:anchor="_Toc6832890" w:history="1">
        <w:r w:rsidRPr="002F0E18">
          <w:rPr>
            <w:rStyle w:val="Hyperlink"/>
            <w:rFonts w:ascii="Arial" w:hAnsi="Arial" w:cs="Arial"/>
            <w:noProof/>
          </w:rPr>
          <w:t>Course Requirements/Assignments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_Toc6832890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3</w:t>
        </w:r>
        <w:r w:rsidRPr="002F0E18">
          <w:rPr>
            <w:rFonts w:ascii="Arial" w:hAnsi="Arial" w:cs="Arial"/>
            <w:noProof/>
            <w:webHidden/>
          </w:rPr>
          <w:fldChar w:fldCharType="end"/>
        </w:r>
      </w:hyperlink>
    </w:p>
    <w:p w14:paraId="4A999F2C" w14:textId="764DEC59" w:rsidR="002F0E18" w:rsidRPr="002F0E18" w:rsidRDefault="002F0E18" w:rsidP="002F0E18">
      <w:pPr>
        <w:pStyle w:val="TOC2"/>
        <w:tabs>
          <w:tab w:val="right" w:leader="dot" w:pos="9350"/>
        </w:tabs>
        <w:spacing w:after="0"/>
        <w:rPr>
          <w:rFonts w:ascii="Arial" w:eastAsiaTheme="minorEastAsia" w:hAnsi="Arial" w:cs="Arial"/>
          <w:noProof/>
        </w:rPr>
      </w:pPr>
      <w:hyperlink w:anchor="_Toc6832891" w:history="1">
        <w:r w:rsidRPr="002F0E18">
          <w:rPr>
            <w:rStyle w:val="Hyperlink"/>
            <w:rFonts w:ascii="Arial" w:eastAsia="Calibri" w:hAnsi="Arial" w:cs="Arial"/>
            <w:noProof/>
          </w:rPr>
          <w:t>Requirements Overview and Deadlines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_Toc6832891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3</w:t>
        </w:r>
        <w:r w:rsidRPr="002F0E18">
          <w:rPr>
            <w:rFonts w:ascii="Arial" w:hAnsi="Arial" w:cs="Arial"/>
            <w:noProof/>
            <w:webHidden/>
          </w:rPr>
          <w:fldChar w:fldCharType="end"/>
        </w:r>
      </w:hyperlink>
    </w:p>
    <w:p w14:paraId="027C3C52" w14:textId="38C906D4" w:rsidR="002F0E18" w:rsidRPr="002F0E18" w:rsidRDefault="002F0E18" w:rsidP="002F0E18">
      <w:pPr>
        <w:pStyle w:val="TOC2"/>
        <w:tabs>
          <w:tab w:val="right" w:leader="dot" w:pos="9350"/>
        </w:tabs>
        <w:spacing w:after="0"/>
        <w:rPr>
          <w:rFonts w:ascii="Arial" w:eastAsiaTheme="minorEastAsia" w:hAnsi="Arial" w:cs="Arial"/>
          <w:noProof/>
        </w:rPr>
      </w:pPr>
      <w:hyperlink w:anchor="_Toc6832892" w:history="1">
        <w:r w:rsidRPr="002F0E18">
          <w:rPr>
            <w:rStyle w:val="Hyperlink"/>
            <w:rFonts w:ascii="Arial" w:hAnsi="Arial" w:cs="Arial"/>
            <w:noProof/>
          </w:rPr>
          <w:t>Requirement/Assignment Details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_Toc6832892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3</w:t>
        </w:r>
        <w:r w:rsidRPr="002F0E18">
          <w:rPr>
            <w:rFonts w:ascii="Arial" w:hAnsi="Arial" w:cs="Arial"/>
            <w:noProof/>
            <w:webHidden/>
          </w:rPr>
          <w:fldChar w:fldCharType="end"/>
        </w:r>
      </w:hyperlink>
    </w:p>
    <w:p w14:paraId="7322C764" w14:textId="785FADBD" w:rsidR="002F0E18" w:rsidRPr="002F0E18" w:rsidRDefault="002F0E18" w:rsidP="002F0E18">
      <w:pPr>
        <w:pStyle w:val="TOC1"/>
        <w:tabs>
          <w:tab w:val="right" w:leader="dot" w:pos="9350"/>
        </w:tabs>
        <w:spacing w:after="0"/>
        <w:rPr>
          <w:rFonts w:ascii="Arial" w:eastAsiaTheme="minorEastAsia" w:hAnsi="Arial" w:cs="Arial"/>
          <w:noProof/>
          <w:sz w:val="22"/>
          <w:szCs w:val="22"/>
        </w:rPr>
      </w:pPr>
      <w:hyperlink w:anchor="_Toc6832893" w:history="1">
        <w:r w:rsidRPr="002F0E18">
          <w:rPr>
            <w:rStyle w:val="Hyperlink"/>
            <w:rFonts w:ascii="Arial" w:hAnsi="Arial" w:cs="Arial"/>
            <w:noProof/>
          </w:rPr>
          <w:t>Assignment Submission and Grading</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_Toc6832893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6</w:t>
        </w:r>
        <w:r w:rsidRPr="002F0E18">
          <w:rPr>
            <w:rFonts w:ascii="Arial" w:hAnsi="Arial" w:cs="Arial"/>
            <w:noProof/>
            <w:webHidden/>
          </w:rPr>
          <w:fldChar w:fldCharType="end"/>
        </w:r>
      </w:hyperlink>
    </w:p>
    <w:p w14:paraId="18482A9D" w14:textId="3B0AE121" w:rsidR="002F0E18" w:rsidRPr="002F0E18" w:rsidRDefault="002F0E18" w:rsidP="002F0E18">
      <w:pPr>
        <w:pStyle w:val="TOC2"/>
        <w:tabs>
          <w:tab w:val="right" w:leader="dot" w:pos="9350"/>
        </w:tabs>
        <w:spacing w:after="0"/>
        <w:rPr>
          <w:rFonts w:ascii="Arial" w:eastAsiaTheme="minorEastAsia" w:hAnsi="Arial" w:cs="Arial"/>
          <w:noProof/>
        </w:rPr>
      </w:pPr>
      <w:hyperlink w:anchor="_Toc6832894" w:history="1">
        <w:r w:rsidRPr="002F0E18">
          <w:rPr>
            <w:rStyle w:val="Hyperlink"/>
            <w:rFonts w:ascii="Arial" w:eastAsia="Calibri" w:hAnsi="Arial" w:cs="Arial"/>
            <w:noProof/>
          </w:rPr>
          <w:t>Form and Style</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_Toc6832894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6</w:t>
        </w:r>
        <w:r w:rsidRPr="002F0E18">
          <w:rPr>
            <w:rFonts w:ascii="Arial" w:hAnsi="Arial" w:cs="Arial"/>
            <w:noProof/>
            <w:webHidden/>
          </w:rPr>
          <w:fldChar w:fldCharType="end"/>
        </w:r>
      </w:hyperlink>
    </w:p>
    <w:p w14:paraId="23978701" w14:textId="6872FAC5" w:rsidR="002F0E18" w:rsidRPr="002F0E18" w:rsidRDefault="002F0E18" w:rsidP="002F0E18">
      <w:pPr>
        <w:pStyle w:val="TOC2"/>
        <w:tabs>
          <w:tab w:val="right" w:leader="dot" w:pos="9350"/>
        </w:tabs>
        <w:spacing w:after="0"/>
        <w:rPr>
          <w:rFonts w:ascii="Arial" w:eastAsiaTheme="minorEastAsia" w:hAnsi="Arial" w:cs="Arial"/>
          <w:noProof/>
        </w:rPr>
      </w:pPr>
      <w:hyperlink w:anchor="_Toc6832895" w:history="1">
        <w:r w:rsidRPr="002F0E18">
          <w:rPr>
            <w:rStyle w:val="Hyperlink"/>
            <w:rFonts w:ascii="Arial" w:hAnsi="Arial" w:cs="Arial"/>
            <w:noProof/>
          </w:rPr>
          <w:t>Privacy Protection</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_Toc6832895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6</w:t>
        </w:r>
        <w:r w:rsidRPr="002F0E18">
          <w:rPr>
            <w:rFonts w:ascii="Arial" w:hAnsi="Arial" w:cs="Arial"/>
            <w:noProof/>
            <w:webHidden/>
          </w:rPr>
          <w:fldChar w:fldCharType="end"/>
        </w:r>
      </w:hyperlink>
    </w:p>
    <w:p w14:paraId="0722ED29" w14:textId="39B9F37F" w:rsidR="002F0E18" w:rsidRPr="002F0E18" w:rsidRDefault="002F0E18" w:rsidP="002F0E18">
      <w:pPr>
        <w:pStyle w:val="TOC2"/>
        <w:tabs>
          <w:tab w:val="right" w:leader="dot" w:pos="9350"/>
        </w:tabs>
        <w:spacing w:after="0"/>
        <w:rPr>
          <w:rFonts w:ascii="Arial" w:eastAsiaTheme="minorEastAsia" w:hAnsi="Arial" w:cs="Arial"/>
          <w:noProof/>
        </w:rPr>
      </w:pPr>
      <w:hyperlink w:anchor="_Toc6832896" w:history="1">
        <w:r w:rsidRPr="002F0E18">
          <w:rPr>
            <w:rStyle w:val="Hyperlink"/>
            <w:rFonts w:ascii="Arial" w:eastAsia="Calibri" w:hAnsi="Arial" w:cs="Arial"/>
            <w:noProof/>
          </w:rPr>
          <w:t>Extreme Circumstances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_Toc6832896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6</w:t>
        </w:r>
        <w:r w:rsidRPr="002F0E18">
          <w:rPr>
            <w:rFonts w:ascii="Arial" w:hAnsi="Arial" w:cs="Arial"/>
            <w:noProof/>
            <w:webHidden/>
          </w:rPr>
          <w:fldChar w:fldCharType="end"/>
        </w:r>
      </w:hyperlink>
    </w:p>
    <w:p w14:paraId="61F0EF6C" w14:textId="5E7D43DE" w:rsidR="002F0E18" w:rsidRPr="002F0E18" w:rsidRDefault="002F0E18" w:rsidP="002F0E18">
      <w:pPr>
        <w:pStyle w:val="TOC1"/>
        <w:tabs>
          <w:tab w:val="right" w:leader="dot" w:pos="9350"/>
        </w:tabs>
        <w:spacing w:after="0"/>
        <w:rPr>
          <w:rFonts w:ascii="Arial" w:eastAsiaTheme="minorEastAsia" w:hAnsi="Arial" w:cs="Arial"/>
          <w:noProof/>
          <w:sz w:val="22"/>
          <w:szCs w:val="22"/>
        </w:rPr>
      </w:pPr>
      <w:hyperlink w:anchor="_Toc6832897" w:history="1">
        <w:r w:rsidRPr="002F0E18">
          <w:rPr>
            <w:rStyle w:val="Hyperlink"/>
            <w:rFonts w:ascii="Arial" w:hAnsi="Arial" w:cs="Arial"/>
            <w:noProof/>
          </w:rPr>
          <w:t>Student Responsibilities and University Policies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_Toc6832897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6</w:t>
        </w:r>
        <w:r w:rsidRPr="002F0E18">
          <w:rPr>
            <w:rFonts w:ascii="Arial" w:hAnsi="Arial" w:cs="Arial"/>
            <w:noProof/>
            <w:webHidden/>
          </w:rPr>
          <w:fldChar w:fldCharType="end"/>
        </w:r>
      </w:hyperlink>
    </w:p>
    <w:p w14:paraId="731DDE8B" w14:textId="2F3E3FFB" w:rsidR="002F0E18" w:rsidRPr="002F0E18" w:rsidRDefault="002F0E18" w:rsidP="002F0E18">
      <w:pPr>
        <w:pStyle w:val="TOC2"/>
        <w:tabs>
          <w:tab w:val="right" w:leader="dot" w:pos="9350"/>
        </w:tabs>
        <w:spacing w:after="0"/>
        <w:rPr>
          <w:rFonts w:ascii="Arial" w:eastAsiaTheme="minorEastAsia" w:hAnsi="Arial" w:cs="Arial"/>
          <w:noProof/>
        </w:rPr>
      </w:pPr>
      <w:hyperlink w:anchor="_Toc6832898" w:history="1">
        <w:r w:rsidRPr="002F0E18">
          <w:rPr>
            <w:rStyle w:val="Hyperlink"/>
            <w:rFonts w:ascii="Arial" w:eastAsia="SimSun" w:hAnsi="Arial" w:cs="Arial"/>
            <w:noProof/>
            <w:lang w:eastAsia="zh-CN"/>
          </w:rPr>
          <w:t>Expectations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_Toc6832898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7</w:t>
        </w:r>
        <w:r w:rsidRPr="002F0E18">
          <w:rPr>
            <w:rFonts w:ascii="Arial" w:hAnsi="Arial" w:cs="Arial"/>
            <w:noProof/>
            <w:webHidden/>
          </w:rPr>
          <w:fldChar w:fldCharType="end"/>
        </w:r>
      </w:hyperlink>
    </w:p>
    <w:p w14:paraId="5BEF724E" w14:textId="40E89499" w:rsidR="002F0E18" w:rsidRPr="002F0E18" w:rsidRDefault="002F0E18" w:rsidP="002F0E18">
      <w:pPr>
        <w:pStyle w:val="TOC2"/>
        <w:tabs>
          <w:tab w:val="right" w:leader="dot" w:pos="9350"/>
        </w:tabs>
        <w:spacing w:after="0"/>
        <w:rPr>
          <w:rFonts w:ascii="Arial" w:eastAsiaTheme="minorEastAsia" w:hAnsi="Arial" w:cs="Arial"/>
          <w:noProof/>
        </w:rPr>
      </w:pPr>
      <w:hyperlink w:anchor="_Toc6832899" w:history="1">
        <w:r w:rsidRPr="002F0E18">
          <w:rPr>
            <w:rStyle w:val="Hyperlink"/>
            <w:rFonts w:ascii="Arial" w:eastAsia="Calibri" w:hAnsi="Arial" w:cs="Arial"/>
            <w:noProof/>
          </w:rPr>
          <w:t>Attendance</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_Toc6832899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7</w:t>
        </w:r>
        <w:r w:rsidRPr="002F0E18">
          <w:rPr>
            <w:rFonts w:ascii="Arial" w:hAnsi="Arial" w:cs="Arial"/>
            <w:noProof/>
            <w:webHidden/>
          </w:rPr>
          <w:fldChar w:fldCharType="end"/>
        </w:r>
      </w:hyperlink>
    </w:p>
    <w:p w14:paraId="0C010543" w14:textId="091D558E" w:rsidR="002F0E18" w:rsidRPr="002F0E18" w:rsidRDefault="002F0E18" w:rsidP="002F0E18">
      <w:pPr>
        <w:pStyle w:val="TOC2"/>
        <w:tabs>
          <w:tab w:val="right" w:leader="dot" w:pos="9350"/>
        </w:tabs>
        <w:spacing w:after="0"/>
        <w:rPr>
          <w:rFonts w:ascii="Arial" w:eastAsiaTheme="minorEastAsia" w:hAnsi="Arial" w:cs="Arial"/>
          <w:noProof/>
        </w:rPr>
      </w:pPr>
      <w:hyperlink w:anchor="_Toc6832900" w:history="1">
        <w:r w:rsidRPr="002F0E18">
          <w:rPr>
            <w:rStyle w:val="Hyperlink"/>
            <w:rFonts w:ascii="Arial" w:hAnsi="Arial" w:cs="Arial"/>
            <w:noProof/>
          </w:rPr>
          <w:t>Academic Integrity</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_Toc6832900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7</w:t>
        </w:r>
        <w:r w:rsidRPr="002F0E18">
          <w:rPr>
            <w:rFonts w:ascii="Arial" w:hAnsi="Arial" w:cs="Arial"/>
            <w:noProof/>
            <w:webHidden/>
          </w:rPr>
          <w:fldChar w:fldCharType="end"/>
        </w:r>
      </w:hyperlink>
    </w:p>
    <w:p w14:paraId="1E339689" w14:textId="0E57B509" w:rsidR="002F0E18" w:rsidRPr="002F0E18" w:rsidRDefault="002F0E18" w:rsidP="002F0E18">
      <w:pPr>
        <w:pStyle w:val="TOC2"/>
        <w:tabs>
          <w:tab w:val="right" w:leader="dot" w:pos="9350"/>
        </w:tabs>
        <w:spacing w:after="0"/>
        <w:rPr>
          <w:rFonts w:ascii="Arial" w:eastAsiaTheme="minorEastAsia" w:hAnsi="Arial" w:cs="Arial"/>
          <w:noProof/>
        </w:rPr>
      </w:pPr>
      <w:hyperlink w:anchor="_Toc6832901" w:history="1">
        <w:r w:rsidRPr="002F0E18">
          <w:rPr>
            <w:rStyle w:val="Hyperlink"/>
            <w:rFonts w:ascii="Arial" w:hAnsi="Arial" w:cs="Arial"/>
            <w:noProof/>
          </w:rPr>
          <w:t>Academic Accommodation of Students with Disabilities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_Toc6832901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7</w:t>
        </w:r>
        <w:r w:rsidRPr="002F0E18">
          <w:rPr>
            <w:rFonts w:ascii="Arial" w:hAnsi="Arial" w:cs="Arial"/>
            <w:noProof/>
            <w:webHidden/>
          </w:rPr>
          <w:fldChar w:fldCharType="end"/>
        </w:r>
      </w:hyperlink>
    </w:p>
    <w:p w14:paraId="3C22CC47" w14:textId="2EC6DC92" w:rsidR="002F0E18" w:rsidRPr="002F0E18" w:rsidRDefault="002F0E18" w:rsidP="002F0E18">
      <w:pPr>
        <w:pStyle w:val="TOC2"/>
        <w:tabs>
          <w:tab w:val="right" w:leader="dot" w:pos="9350"/>
        </w:tabs>
        <w:spacing w:after="0"/>
        <w:rPr>
          <w:rFonts w:ascii="Arial" w:eastAsiaTheme="minorEastAsia" w:hAnsi="Arial" w:cs="Arial"/>
          <w:noProof/>
        </w:rPr>
      </w:pPr>
      <w:hyperlink w:anchor="_Toc6832902" w:history="1">
        <w:r w:rsidRPr="002F0E18">
          <w:rPr>
            <w:rStyle w:val="Hyperlink"/>
            <w:rFonts w:ascii="Arial" w:eastAsia="Calibri" w:hAnsi="Arial" w:cs="Arial"/>
            <w:noProof/>
          </w:rPr>
          <w:t>Religious, Indigenous and Spiritual Observances (RISO)</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_Toc6832902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8</w:t>
        </w:r>
        <w:r w:rsidRPr="002F0E18">
          <w:rPr>
            <w:rFonts w:ascii="Arial" w:hAnsi="Arial" w:cs="Arial"/>
            <w:noProof/>
            <w:webHidden/>
          </w:rPr>
          <w:fldChar w:fldCharType="end"/>
        </w:r>
      </w:hyperlink>
    </w:p>
    <w:p w14:paraId="1E0396B6" w14:textId="6404DE8B" w:rsidR="002F0E18" w:rsidRPr="002F0E18" w:rsidRDefault="002F0E18" w:rsidP="002F0E18">
      <w:pPr>
        <w:pStyle w:val="TOC2"/>
        <w:tabs>
          <w:tab w:val="right" w:leader="dot" w:pos="9350"/>
        </w:tabs>
        <w:spacing w:after="0"/>
        <w:rPr>
          <w:rFonts w:ascii="Arial" w:eastAsiaTheme="minorEastAsia" w:hAnsi="Arial" w:cs="Arial"/>
          <w:noProof/>
        </w:rPr>
      </w:pPr>
      <w:hyperlink w:anchor="_Toc6832903" w:history="1">
        <w:r w:rsidRPr="002F0E18">
          <w:rPr>
            <w:rStyle w:val="Hyperlink"/>
            <w:rFonts w:ascii="Arial" w:eastAsia="Calibri" w:hAnsi="Arial" w:cs="Arial"/>
            <w:noProof/>
          </w:rPr>
          <w:t>E-mail Communication Policy</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_Toc6832903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8</w:t>
        </w:r>
        <w:r w:rsidRPr="002F0E18">
          <w:rPr>
            <w:rFonts w:ascii="Arial" w:hAnsi="Arial" w:cs="Arial"/>
            <w:noProof/>
            <w:webHidden/>
          </w:rPr>
          <w:fldChar w:fldCharType="end"/>
        </w:r>
      </w:hyperlink>
    </w:p>
    <w:p w14:paraId="0AB99292" w14:textId="358D6A50" w:rsidR="002F0E18" w:rsidRPr="002F0E18" w:rsidRDefault="002F0E18" w:rsidP="002F0E18">
      <w:pPr>
        <w:pStyle w:val="TOC2"/>
        <w:tabs>
          <w:tab w:val="right" w:leader="dot" w:pos="9350"/>
        </w:tabs>
        <w:spacing w:after="0"/>
        <w:rPr>
          <w:rFonts w:ascii="Arial" w:eastAsiaTheme="minorEastAsia" w:hAnsi="Arial" w:cs="Arial"/>
          <w:noProof/>
        </w:rPr>
      </w:pPr>
      <w:hyperlink w:anchor="_Toc6832904" w:history="1">
        <w:r w:rsidRPr="002F0E18">
          <w:rPr>
            <w:rStyle w:val="Hyperlink"/>
            <w:rFonts w:ascii="Arial" w:eastAsia="Calibri" w:hAnsi="Arial" w:cs="Arial"/>
            <w:noProof/>
          </w:rPr>
          <w:t>Course Modification Policy</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_Toc6832904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8</w:t>
        </w:r>
        <w:r w:rsidRPr="002F0E18">
          <w:rPr>
            <w:rFonts w:ascii="Arial" w:hAnsi="Arial" w:cs="Arial"/>
            <w:noProof/>
            <w:webHidden/>
          </w:rPr>
          <w:fldChar w:fldCharType="end"/>
        </w:r>
      </w:hyperlink>
    </w:p>
    <w:p w14:paraId="0C38A556" w14:textId="1751AF67" w:rsidR="002F0E18" w:rsidRPr="002F0E18" w:rsidRDefault="002F0E18" w:rsidP="002F0E18">
      <w:pPr>
        <w:pStyle w:val="TOC1"/>
        <w:tabs>
          <w:tab w:val="right" w:leader="dot" w:pos="9350"/>
        </w:tabs>
        <w:spacing w:after="0"/>
        <w:rPr>
          <w:rFonts w:ascii="Arial" w:eastAsiaTheme="minorEastAsia" w:hAnsi="Arial" w:cs="Arial"/>
          <w:noProof/>
          <w:sz w:val="22"/>
          <w:szCs w:val="22"/>
        </w:rPr>
      </w:pPr>
      <w:hyperlink w:anchor="_Toc6832905" w:history="1">
        <w:r w:rsidRPr="002F0E18">
          <w:rPr>
            <w:rStyle w:val="Hyperlink"/>
            <w:rFonts w:ascii="Arial" w:hAnsi="Arial" w:cs="Arial"/>
            <w:noProof/>
          </w:rPr>
          <w:t>Course Weekly Topics and Readings</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_Toc6832905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8</w:t>
        </w:r>
        <w:r w:rsidRPr="002F0E18">
          <w:rPr>
            <w:rFonts w:ascii="Arial" w:hAnsi="Arial" w:cs="Arial"/>
            <w:noProof/>
            <w:webHidden/>
          </w:rPr>
          <w:fldChar w:fldCharType="end"/>
        </w:r>
      </w:hyperlink>
    </w:p>
    <w:p w14:paraId="742B93DA" w14:textId="4B1832F6" w:rsidR="002F0E18" w:rsidRPr="002F0E18" w:rsidRDefault="002F0E18" w:rsidP="002F0E18">
      <w:pPr>
        <w:pStyle w:val="TOC2"/>
        <w:tabs>
          <w:tab w:val="right" w:leader="dot" w:pos="9350"/>
        </w:tabs>
        <w:spacing w:after="0"/>
        <w:rPr>
          <w:rFonts w:ascii="Arial" w:eastAsiaTheme="minorEastAsia" w:hAnsi="Arial" w:cs="Arial"/>
          <w:noProof/>
        </w:rPr>
      </w:pPr>
      <w:hyperlink w:anchor="_Toc6832906" w:history="1">
        <w:r w:rsidRPr="002F0E18">
          <w:rPr>
            <w:rStyle w:val="Hyperlink"/>
            <w:rFonts w:ascii="Arial" w:hAnsi="Arial" w:cs="Arial"/>
            <w:noProof/>
          </w:rPr>
          <w:t>Date: Monday, May 6,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_Toc6832906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8</w:t>
        </w:r>
        <w:r w:rsidRPr="002F0E18">
          <w:rPr>
            <w:rFonts w:ascii="Arial" w:hAnsi="Arial" w:cs="Arial"/>
            <w:noProof/>
            <w:webHidden/>
          </w:rPr>
          <w:fldChar w:fldCharType="end"/>
        </w:r>
      </w:hyperlink>
    </w:p>
    <w:p w14:paraId="46D41A91" w14:textId="159A8270" w:rsidR="002F0E18" w:rsidRPr="002F0E18" w:rsidRDefault="002F0E18" w:rsidP="002F0E18">
      <w:pPr>
        <w:pStyle w:val="TOC2"/>
        <w:tabs>
          <w:tab w:val="right" w:leader="dot" w:pos="9350"/>
        </w:tabs>
        <w:spacing w:after="0"/>
        <w:rPr>
          <w:rFonts w:ascii="Arial" w:eastAsiaTheme="minorEastAsia" w:hAnsi="Arial" w:cs="Arial"/>
          <w:noProof/>
        </w:rPr>
      </w:pPr>
      <w:hyperlink w:anchor="_Toc6832907" w:history="1">
        <w:r w:rsidRPr="002F0E18">
          <w:rPr>
            <w:rStyle w:val="Hyperlink"/>
            <w:rFonts w:ascii="Arial" w:hAnsi="Arial" w:cs="Arial"/>
            <w:noProof/>
          </w:rPr>
          <w:t>Date: Thursday, May 9,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_Toc6832907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9</w:t>
        </w:r>
        <w:r w:rsidRPr="002F0E18">
          <w:rPr>
            <w:rFonts w:ascii="Arial" w:hAnsi="Arial" w:cs="Arial"/>
            <w:noProof/>
            <w:webHidden/>
          </w:rPr>
          <w:fldChar w:fldCharType="end"/>
        </w:r>
      </w:hyperlink>
    </w:p>
    <w:p w14:paraId="520BF6A1" w14:textId="0AA1F9F2" w:rsidR="002F0E18" w:rsidRPr="002F0E18" w:rsidRDefault="002F0E18" w:rsidP="002F0E18">
      <w:pPr>
        <w:pStyle w:val="TOC2"/>
        <w:tabs>
          <w:tab w:val="right" w:leader="dot" w:pos="9350"/>
        </w:tabs>
        <w:spacing w:after="0"/>
        <w:rPr>
          <w:rFonts w:ascii="Arial" w:eastAsiaTheme="minorEastAsia" w:hAnsi="Arial" w:cs="Arial"/>
          <w:noProof/>
        </w:rPr>
      </w:pPr>
      <w:hyperlink w:anchor="_Toc6832908" w:history="1">
        <w:r w:rsidRPr="002F0E18">
          <w:rPr>
            <w:rStyle w:val="Hyperlink"/>
            <w:rFonts w:ascii="Arial" w:hAnsi="Arial" w:cs="Arial"/>
            <w:noProof/>
          </w:rPr>
          <w:t>Date: Tuesday, May 14,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_Toc6832908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9</w:t>
        </w:r>
        <w:r w:rsidRPr="002F0E18">
          <w:rPr>
            <w:rFonts w:ascii="Arial" w:hAnsi="Arial" w:cs="Arial"/>
            <w:noProof/>
            <w:webHidden/>
          </w:rPr>
          <w:fldChar w:fldCharType="end"/>
        </w:r>
      </w:hyperlink>
    </w:p>
    <w:p w14:paraId="3001630B" w14:textId="462F7030" w:rsidR="002F0E18" w:rsidRPr="002F0E18" w:rsidRDefault="002F0E18" w:rsidP="002F0E18">
      <w:pPr>
        <w:pStyle w:val="TOC2"/>
        <w:tabs>
          <w:tab w:val="right" w:leader="dot" w:pos="9350"/>
        </w:tabs>
        <w:spacing w:after="0"/>
        <w:rPr>
          <w:rFonts w:ascii="Arial" w:eastAsiaTheme="minorEastAsia" w:hAnsi="Arial" w:cs="Arial"/>
          <w:noProof/>
        </w:rPr>
      </w:pPr>
      <w:hyperlink w:anchor="_Toc6832909" w:history="1">
        <w:r w:rsidRPr="002F0E18">
          <w:rPr>
            <w:rStyle w:val="Hyperlink"/>
            <w:rFonts w:ascii="Arial" w:hAnsi="Arial" w:cs="Arial"/>
            <w:noProof/>
          </w:rPr>
          <w:t>Date: Thursday, May 16,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_Toc6832909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9</w:t>
        </w:r>
        <w:r w:rsidRPr="002F0E18">
          <w:rPr>
            <w:rFonts w:ascii="Arial" w:hAnsi="Arial" w:cs="Arial"/>
            <w:noProof/>
            <w:webHidden/>
          </w:rPr>
          <w:fldChar w:fldCharType="end"/>
        </w:r>
      </w:hyperlink>
    </w:p>
    <w:p w14:paraId="40416DB2" w14:textId="04F52128" w:rsidR="002F0E18" w:rsidRPr="002F0E18" w:rsidRDefault="002F0E18" w:rsidP="002F0E18">
      <w:pPr>
        <w:pStyle w:val="TOC2"/>
        <w:tabs>
          <w:tab w:val="right" w:leader="dot" w:pos="9350"/>
        </w:tabs>
        <w:spacing w:after="0"/>
        <w:rPr>
          <w:rFonts w:ascii="Arial" w:eastAsiaTheme="minorEastAsia" w:hAnsi="Arial" w:cs="Arial"/>
          <w:noProof/>
        </w:rPr>
      </w:pPr>
      <w:hyperlink w:anchor="_Toc6832910" w:history="1">
        <w:r w:rsidRPr="002F0E18">
          <w:rPr>
            <w:rStyle w:val="Hyperlink"/>
            <w:rFonts w:ascii="Arial" w:hAnsi="Arial" w:cs="Arial"/>
            <w:noProof/>
          </w:rPr>
          <w:t>Date: Monday, May 20,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_Toc6832910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10</w:t>
        </w:r>
        <w:r w:rsidRPr="002F0E18">
          <w:rPr>
            <w:rFonts w:ascii="Arial" w:hAnsi="Arial" w:cs="Arial"/>
            <w:noProof/>
            <w:webHidden/>
          </w:rPr>
          <w:fldChar w:fldCharType="end"/>
        </w:r>
      </w:hyperlink>
    </w:p>
    <w:p w14:paraId="291A1132" w14:textId="21BDD872" w:rsidR="002F0E18" w:rsidRPr="002F0E18" w:rsidRDefault="002F0E18" w:rsidP="002F0E18">
      <w:pPr>
        <w:pStyle w:val="TOC2"/>
        <w:tabs>
          <w:tab w:val="right" w:leader="dot" w:pos="9350"/>
        </w:tabs>
        <w:spacing w:after="0"/>
        <w:rPr>
          <w:rFonts w:ascii="Arial" w:eastAsiaTheme="minorEastAsia" w:hAnsi="Arial" w:cs="Arial"/>
          <w:noProof/>
        </w:rPr>
      </w:pPr>
      <w:hyperlink w:anchor="_Toc6832911" w:history="1">
        <w:r w:rsidRPr="002F0E18">
          <w:rPr>
            <w:rStyle w:val="Hyperlink"/>
            <w:rFonts w:ascii="Arial" w:hAnsi="Arial" w:cs="Arial"/>
            <w:noProof/>
          </w:rPr>
          <w:t>Date: Thursday, May 23,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_Toc6832911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10</w:t>
        </w:r>
        <w:r w:rsidRPr="002F0E18">
          <w:rPr>
            <w:rFonts w:ascii="Arial" w:hAnsi="Arial" w:cs="Arial"/>
            <w:noProof/>
            <w:webHidden/>
          </w:rPr>
          <w:fldChar w:fldCharType="end"/>
        </w:r>
      </w:hyperlink>
    </w:p>
    <w:p w14:paraId="6812623C" w14:textId="0FD84626" w:rsidR="002F0E18" w:rsidRPr="002F0E18" w:rsidRDefault="002F0E18" w:rsidP="002F0E18">
      <w:pPr>
        <w:pStyle w:val="TOC2"/>
        <w:tabs>
          <w:tab w:val="right" w:leader="dot" w:pos="9350"/>
        </w:tabs>
        <w:spacing w:after="0"/>
        <w:rPr>
          <w:rFonts w:ascii="Arial" w:eastAsiaTheme="minorEastAsia" w:hAnsi="Arial" w:cs="Arial"/>
          <w:noProof/>
        </w:rPr>
      </w:pPr>
      <w:hyperlink w:anchor="_Toc6832912" w:history="1">
        <w:r w:rsidRPr="002F0E18">
          <w:rPr>
            <w:rStyle w:val="Hyperlink"/>
            <w:rFonts w:ascii="Arial" w:hAnsi="Arial" w:cs="Arial"/>
            <w:noProof/>
          </w:rPr>
          <w:t>Date: Monday, May 27,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_Toc6832912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10</w:t>
        </w:r>
        <w:r w:rsidRPr="002F0E18">
          <w:rPr>
            <w:rFonts w:ascii="Arial" w:hAnsi="Arial" w:cs="Arial"/>
            <w:noProof/>
            <w:webHidden/>
          </w:rPr>
          <w:fldChar w:fldCharType="end"/>
        </w:r>
      </w:hyperlink>
    </w:p>
    <w:p w14:paraId="244F850B" w14:textId="4271F49D" w:rsidR="002F0E18" w:rsidRPr="002F0E18" w:rsidRDefault="002F0E18" w:rsidP="002F0E18">
      <w:pPr>
        <w:pStyle w:val="TOC2"/>
        <w:tabs>
          <w:tab w:val="right" w:leader="dot" w:pos="9350"/>
        </w:tabs>
        <w:spacing w:after="0"/>
        <w:rPr>
          <w:rFonts w:ascii="Arial" w:eastAsiaTheme="minorEastAsia" w:hAnsi="Arial" w:cs="Arial"/>
          <w:noProof/>
        </w:rPr>
      </w:pPr>
      <w:hyperlink w:anchor="_Toc6832913" w:history="1">
        <w:r w:rsidRPr="002F0E18">
          <w:rPr>
            <w:rStyle w:val="Hyperlink"/>
            <w:rFonts w:ascii="Arial" w:hAnsi="Arial" w:cs="Arial"/>
            <w:noProof/>
          </w:rPr>
          <w:t>Date: Thursday, May 30,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_Toc6832913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10</w:t>
        </w:r>
        <w:r w:rsidRPr="002F0E18">
          <w:rPr>
            <w:rFonts w:ascii="Arial" w:hAnsi="Arial" w:cs="Arial"/>
            <w:noProof/>
            <w:webHidden/>
          </w:rPr>
          <w:fldChar w:fldCharType="end"/>
        </w:r>
      </w:hyperlink>
    </w:p>
    <w:p w14:paraId="19AFCA65" w14:textId="28D63D34" w:rsidR="002F0E18" w:rsidRPr="002F0E18" w:rsidRDefault="002F0E18" w:rsidP="002F0E18">
      <w:pPr>
        <w:pStyle w:val="TOC2"/>
        <w:tabs>
          <w:tab w:val="right" w:leader="dot" w:pos="9350"/>
        </w:tabs>
        <w:spacing w:after="0"/>
        <w:rPr>
          <w:rFonts w:ascii="Arial" w:eastAsiaTheme="minorEastAsia" w:hAnsi="Arial" w:cs="Arial"/>
          <w:noProof/>
        </w:rPr>
      </w:pPr>
      <w:hyperlink w:anchor="_Toc6832914" w:history="1">
        <w:r w:rsidRPr="002F0E18">
          <w:rPr>
            <w:rStyle w:val="Hyperlink"/>
            <w:rFonts w:ascii="Arial" w:hAnsi="Arial" w:cs="Arial"/>
            <w:noProof/>
          </w:rPr>
          <w:t>Date: Monday, June 3,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_Toc6832914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11</w:t>
        </w:r>
        <w:r w:rsidRPr="002F0E18">
          <w:rPr>
            <w:rFonts w:ascii="Arial" w:hAnsi="Arial" w:cs="Arial"/>
            <w:noProof/>
            <w:webHidden/>
          </w:rPr>
          <w:fldChar w:fldCharType="end"/>
        </w:r>
      </w:hyperlink>
    </w:p>
    <w:p w14:paraId="07F43E8A" w14:textId="25A30183" w:rsidR="002F0E18" w:rsidRPr="002F0E18" w:rsidRDefault="002F0E18" w:rsidP="002F0E18">
      <w:pPr>
        <w:pStyle w:val="TOC2"/>
        <w:tabs>
          <w:tab w:val="right" w:leader="dot" w:pos="9350"/>
        </w:tabs>
        <w:spacing w:after="0"/>
        <w:rPr>
          <w:rFonts w:ascii="Arial" w:eastAsiaTheme="minorEastAsia" w:hAnsi="Arial" w:cs="Arial"/>
          <w:noProof/>
        </w:rPr>
      </w:pPr>
      <w:hyperlink w:anchor="_Toc6832915" w:history="1">
        <w:r w:rsidRPr="002F0E18">
          <w:rPr>
            <w:rStyle w:val="Hyperlink"/>
            <w:rFonts w:ascii="Arial" w:hAnsi="Arial" w:cs="Arial"/>
            <w:noProof/>
          </w:rPr>
          <w:t>Date: Thursday, June 6,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_Toc6832915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11</w:t>
        </w:r>
        <w:r w:rsidRPr="002F0E18">
          <w:rPr>
            <w:rFonts w:ascii="Arial" w:hAnsi="Arial" w:cs="Arial"/>
            <w:noProof/>
            <w:webHidden/>
          </w:rPr>
          <w:fldChar w:fldCharType="end"/>
        </w:r>
      </w:hyperlink>
    </w:p>
    <w:p w14:paraId="400FF04D" w14:textId="42DAAB35" w:rsidR="002F0E18" w:rsidRPr="002F0E18" w:rsidRDefault="002F0E18" w:rsidP="002F0E18">
      <w:pPr>
        <w:pStyle w:val="TOC2"/>
        <w:tabs>
          <w:tab w:val="right" w:leader="dot" w:pos="9350"/>
        </w:tabs>
        <w:spacing w:after="0"/>
        <w:rPr>
          <w:rFonts w:ascii="Arial" w:eastAsiaTheme="minorEastAsia" w:hAnsi="Arial" w:cs="Arial"/>
          <w:noProof/>
        </w:rPr>
      </w:pPr>
      <w:hyperlink w:anchor="_Toc6832916" w:history="1">
        <w:r w:rsidRPr="002F0E18">
          <w:rPr>
            <w:rStyle w:val="Hyperlink"/>
            <w:rFonts w:ascii="Arial" w:hAnsi="Arial" w:cs="Arial"/>
            <w:noProof/>
          </w:rPr>
          <w:t>Date: Monday June 10, 2018</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_Toc6832916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11</w:t>
        </w:r>
        <w:r w:rsidRPr="002F0E18">
          <w:rPr>
            <w:rFonts w:ascii="Arial" w:hAnsi="Arial" w:cs="Arial"/>
            <w:noProof/>
            <w:webHidden/>
          </w:rPr>
          <w:fldChar w:fldCharType="end"/>
        </w:r>
      </w:hyperlink>
    </w:p>
    <w:p w14:paraId="3E828E58" w14:textId="7725DEDA" w:rsidR="002F0E18" w:rsidRPr="002F0E18" w:rsidRDefault="002F0E18" w:rsidP="002F0E18">
      <w:pPr>
        <w:pStyle w:val="TOC2"/>
        <w:tabs>
          <w:tab w:val="right" w:leader="dot" w:pos="9350"/>
        </w:tabs>
        <w:spacing w:after="0"/>
        <w:rPr>
          <w:rFonts w:ascii="Arial" w:eastAsiaTheme="minorEastAsia" w:hAnsi="Arial" w:cs="Arial"/>
          <w:noProof/>
        </w:rPr>
      </w:pPr>
      <w:hyperlink w:anchor="_Toc6832917" w:history="1">
        <w:r w:rsidRPr="002F0E18">
          <w:rPr>
            <w:rStyle w:val="Hyperlink"/>
            <w:rFonts w:ascii="Arial" w:hAnsi="Arial" w:cs="Arial"/>
            <w:noProof/>
          </w:rPr>
          <w:t>Date: Thursday June 13,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_Toc6832917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12</w:t>
        </w:r>
        <w:r w:rsidRPr="002F0E18">
          <w:rPr>
            <w:rFonts w:ascii="Arial" w:hAnsi="Arial" w:cs="Arial"/>
            <w:noProof/>
            <w:webHidden/>
          </w:rPr>
          <w:fldChar w:fldCharType="end"/>
        </w:r>
      </w:hyperlink>
    </w:p>
    <w:p w14:paraId="319B8DAD" w14:textId="162B8CAF" w:rsidR="002F0E18" w:rsidRPr="002F0E18" w:rsidRDefault="002F0E18" w:rsidP="002F0E18">
      <w:pPr>
        <w:pStyle w:val="TOC2"/>
        <w:tabs>
          <w:tab w:val="right" w:leader="dot" w:pos="9350"/>
        </w:tabs>
        <w:spacing w:after="0"/>
        <w:rPr>
          <w:rFonts w:ascii="Arial" w:eastAsiaTheme="minorEastAsia" w:hAnsi="Arial" w:cs="Arial"/>
          <w:noProof/>
        </w:rPr>
      </w:pPr>
      <w:hyperlink w:anchor="_Toc6832918" w:history="1">
        <w:r w:rsidRPr="002F0E18">
          <w:rPr>
            <w:rStyle w:val="Hyperlink"/>
            <w:rFonts w:ascii="Arial" w:hAnsi="Arial" w:cs="Arial"/>
            <w:noProof/>
          </w:rPr>
          <w:t>Date: Monday June 17,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_Toc6832918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12</w:t>
        </w:r>
        <w:r w:rsidRPr="002F0E18">
          <w:rPr>
            <w:rFonts w:ascii="Arial" w:hAnsi="Arial" w:cs="Arial"/>
            <w:noProof/>
            <w:webHidden/>
          </w:rPr>
          <w:fldChar w:fldCharType="end"/>
        </w:r>
      </w:hyperlink>
    </w:p>
    <w:p w14:paraId="3796F92B" w14:textId="095F2377" w:rsidR="002F0E18" w:rsidRPr="002F0E18" w:rsidRDefault="002F0E18" w:rsidP="002F0E18">
      <w:pPr>
        <w:pStyle w:val="TOC2"/>
        <w:tabs>
          <w:tab w:val="right" w:leader="dot" w:pos="9350"/>
        </w:tabs>
        <w:spacing w:after="0"/>
        <w:rPr>
          <w:rFonts w:ascii="Arial" w:eastAsiaTheme="minorEastAsia" w:hAnsi="Arial" w:cs="Arial"/>
          <w:noProof/>
        </w:rPr>
      </w:pPr>
      <w:hyperlink w:anchor="_Toc6832919" w:history="1">
        <w:r w:rsidRPr="002F0E18">
          <w:rPr>
            <w:rStyle w:val="Hyperlink"/>
            <w:rFonts w:ascii="Arial" w:hAnsi="Arial" w:cs="Arial"/>
            <w:noProof/>
          </w:rPr>
          <w:t>Date: Thursday, June 20, 2019</w:t>
        </w:r>
        <w:r w:rsidRPr="002F0E18">
          <w:rPr>
            <w:rFonts w:ascii="Arial" w:hAnsi="Arial" w:cs="Arial"/>
            <w:noProof/>
            <w:webHidden/>
          </w:rPr>
          <w:tab/>
        </w:r>
        <w:r w:rsidRPr="002F0E18">
          <w:rPr>
            <w:rFonts w:ascii="Arial" w:hAnsi="Arial" w:cs="Arial"/>
            <w:noProof/>
            <w:webHidden/>
          </w:rPr>
          <w:fldChar w:fldCharType="begin"/>
        </w:r>
        <w:r w:rsidRPr="002F0E18">
          <w:rPr>
            <w:rFonts w:ascii="Arial" w:hAnsi="Arial" w:cs="Arial"/>
            <w:noProof/>
            <w:webHidden/>
          </w:rPr>
          <w:instrText xml:space="preserve"> PAGEREF _Toc6832919 \h </w:instrText>
        </w:r>
        <w:r w:rsidRPr="002F0E18">
          <w:rPr>
            <w:rFonts w:ascii="Arial" w:hAnsi="Arial" w:cs="Arial"/>
            <w:noProof/>
            <w:webHidden/>
          </w:rPr>
        </w:r>
        <w:r w:rsidRPr="002F0E18">
          <w:rPr>
            <w:rFonts w:ascii="Arial" w:hAnsi="Arial" w:cs="Arial"/>
            <w:noProof/>
            <w:webHidden/>
          </w:rPr>
          <w:fldChar w:fldCharType="separate"/>
        </w:r>
        <w:r w:rsidRPr="002F0E18">
          <w:rPr>
            <w:rFonts w:ascii="Arial" w:hAnsi="Arial" w:cs="Arial"/>
            <w:noProof/>
            <w:webHidden/>
          </w:rPr>
          <w:t>12</w:t>
        </w:r>
        <w:r w:rsidRPr="002F0E18">
          <w:rPr>
            <w:rFonts w:ascii="Arial" w:hAnsi="Arial" w:cs="Arial"/>
            <w:noProof/>
            <w:webHidden/>
          </w:rPr>
          <w:fldChar w:fldCharType="end"/>
        </w:r>
      </w:hyperlink>
    </w:p>
    <w:p w14:paraId="5F17BF8D" w14:textId="3F175E3F" w:rsidR="007C1BA1" w:rsidRDefault="005D6D92" w:rsidP="002F0E18">
      <w:pPr>
        <w:pStyle w:val="Heading1"/>
      </w:pPr>
      <w:r w:rsidRPr="002F0E18">
        <w:rPr>
          <w:rFonts w:eastAsia="Times New Roman" w:cs="Arial"/>
          <w:color w:val="auto"/>
          <w:sz w:val="24"/>
          <w:szCs w:val="24"/>
        </w:rPr>
        <w:lastRenderedPageBreak/>
        <w:fldChar w:fldCharType="end"/>
      </w:r>
      <w:bookmarkStart w:id="1" w:name="_Toc6832885"/>
      <w:r w:rsidR="007C1BA1">
        <w:t>Course Overview</w:t>
      </w:r>
      <w:bookmarkEnd w:id="1"/>
    </w:p>
    <w:p w14:paraId="2D1C5FF0" w14:textId="77777777" w:rsidR="007F0D43" w:rsidRPr="007C1BA1" w:rsidRDefault="003F60FC" w:rsidP="007C1BA1">
      <w:pPr>
        <w:pStyle w:val="Heading2"/>
      </w:pPr>
      <w:bookmarkStart w:id="2" w:name="_Toc6832886"/>
      <w:r w:rsidRPr="007C1BA1">
        <w:t>Course Description:</w:t>
      </w:r>
      <w:bookmarkEnd w:id="2"/>
    </w:p>
    <w:p w14:paraId="34993A41" w14:textId="77777777" w:rsidR="00275856" w:rsidRPr="00275856" w:rsidRDefault="0088454B" w:rsidP="007C1BA1">
      <w:pPr>
        <w:rPr>
          <w:b/>
        </w:rPr>
      </w:pPr>
      <w:r w:rsidRPr="0088454B">
        <w:rPr>
          <w:rFonts w:cs="Helvetica"/>
          <w:color w:val="000000" w:themeColor="text1"/>
        </w:rPr>
        <w:t xml:space="preserve">Discourses of evidence-based practice increasingly permeate social services, and audit technologies </w:t>
      </w:r>
      <w:r w:rsidRPr="00275856">
        <w:rPr>
          <w:color w:val="000000" w:themeColor="text1"/>
        </w:rPr>
        <w:t xml:space="preserve">abound. </w:t>
      </w:r>
      <w:r w:rsidR="00275856" w:rsidRPr="00275856">
        <w:t xml:space="preserve">This course explores both the doing and discourses of evaluation and accountability as they relate to critical practice in social services and communities. It supports students to apply critical conceptual frameworks to evidence and evaluation, develop an awareness of the organizational context for evaluation, learn </w:t>
      </w:r>
      <w:r w:rsidR="00BD1044">
        <w:t xml:space="preserve">about inclusive </w:t>
      </w:r>
      <w:r w:rsidR="00275856" w:rsidRPr="00275856">
        <w:t>evaluation methods, and examine ways to use more conventional methods of evaluation for social justice ends.</w:t>
      </w:r>
    </w:p>
    <w:p w14:paraId="755C8EB3" w14:textId="77777777" w:rsidR="009C48C6" w:rsidRPr="007C1BA1" w:rsidRDefault="009C48C6" w:rsidP="007C1BA1">
      <w:pPr>
        <w:pStyle w:val="Heading2"/>
      </w:pPr>
      <w:bookmarkStart w:id="3" w:name="_Toc6832887"/>
      <w:r w:rsidRPr="007C1BA1">
        <w:rPr>
          <w:rFonts w:eastAsia="MS Gothic"/>
        </w:rPr>
        <w:t>Course Objectives:</w:t>
      </w:r>
      <w:bookmarkEnd w:id="3"/>
    </w:p>
    <w:p w14:paraId="7ADB66FB" w14:textId="77777777" w:rsidR="009B0904" w:rsidRPr="007C1BA1" w:rsidRDefault="009B0904" w:rsidP="007C1BA1">
      <w:pPr>
        <w:pStyle w:val="ListParagraph"/>
        <w:numPr>
          <w:ilvl w:val="0"/>
          <w:numId w:val="23"/>
        </w:numPr>
      </w:pPr>
      <w:r w:rsidRPr="007C1BA1">
        <w:t xml:space="preserve">Understand how theory (critical theory, practice theory, social change theory, evaluation theory) shapes understandings of evidence and evaluation </w:t>
      </w:r>
    </w:p>
    <w:p w14:paraId="4E0A920F" w14:textId="77777777" w:rsidR="009B0904" w:rsidRPr="007C1BA1" w:rsidRDefault="009B0904" w:rsidP="007C1BA1">
      <w:pPr>
        <w:pStyle w:val="ListParagraph"/>
        <w:numPr>
          <w:ilvl w:val="0"/>
          <w:numId w:val="23"/>
        </w:numPr>
      </w:pPr>
      <w:r w:rsidRPr="007C1BA1">
        <w:t xml:space="preserve">Develop awareness of the context in which evaluation occurs including organizational, social, cultural and political relations </w:t>
      </w:r>
    </w:p>
    <w:p w14:paraId="0692326D" w14:textId="77777777" w:rsidR="009B0904" w:rsidRPr="007C1BA1" w:rsidRDefault="009B0904" w:rsidP="007C1BA1">
      <w:pPr>
        <w:pStyle w:val="ListParagraph"/>
        <w:numPr>
          <w:ilvl w:val="0"/>
          <w:numId w:val="23"/>
        </w:numPr>
      </w:pPr>
      <w:r w:rsidRPr="007C1BA1">
        <w:t xml:space="preserve">Learn about evaluation methods for inclusive individual and community participation </w:t>
      </w:r>
    </w:p>
    <w:p w14:paraId="31A5456F" w14:textId="77777777" w:rsidR="009B0904" w:rsidRPr="007C1BA1" w:rsidRDefault="009B0904" w:rsidP="007C1BA1">
      <w:pPr>
        <w:pStyle w:val="ListParagraph"/>
        <w:numPr>
          <w:ilvl w:val="0"/>
          <w:numId w:val="23"/>
        </w:numPr>
      </w:pPr>
      <w:r w:rsidRPr="007C1BA1">
        <w:t>Engage in practical application by using specific models and methods of evaluation</w:t>
      </w:r>
    </w:p>
    <w:p w14:paraId="2C6571E4" w14:textId="77777777" w:rsidR="009B0904" w:rsidRPr="007C1BA1" w:rsidRDefault="009B0904" w:rsidP="007C1BA1">
      <w:pPr>
        <w:pStyle w:val="ListParagraph"/>
        <w:numPr>
          <w:ilvl w:val="0"/>
          <w:numId w:val="23"/>
        </w:numPr>
      </w:pPr>
      <w:r w:rsidRPr="007C1BA1">
        <w:t>Reflect on how to use more conventional methods of evaluation for social justice ends</w:t>
      </w:r>
    </w:p>
    <w:p w14:paraId="4ACF0501" w14:textId="77777777" w:rsidR="00843499" w:rsidRPr="007C1BA1" w:rsidRDefault="00EC3037" w:rsidP="007C1BA1">
      <w:pPr>
        <w:pStyle w:val="ListParagraph"/>
        <w:numPr>
          <w:ilvl w:val="0"/>
          <w:numId w:val="23"/>
        </w:numPr>
      </w:pPr>
      <w:r w:rsidRPr="007C1BA1">
        <w:t xml:space="preserve">Examine ways </w:t>
      </w:r>
      <w:r w:rsidR="009B0904" w:rsidRPr="007C1BA1">
        <w:t>to build organizational capacity for evaluative thinking and evaluation</w:t>
      </w:r>
    </w:p>
    <w:p w14:paraId="02FFD4A7" w14:textId="77777777" w:rsidR="003F60FC" w:rsidRPr="009E304A" w:rsidRDefault="003F60FC" w:rsidP="007C1BA1">
      <w:r w:rsidRPr="009E304A">
        <w:t xml:space="preserve">The basic assumptions of this course concur with the broader curriculum context set by the </w:t>
      </w:r>
      <w:r w:rsidRPr="009E304A">
        <w:rPr>
          <w:b/>
          <w:bCs/>
        </w:rPr>
        <w:t>School of Social Work's Statement of Philosophy</w:t>
      </w:r>
      <w:r w:rsidRPr="009E304A">
        <w:t>:</w:t>
      </w:r>
    </w:p>
    <w:p w14:paraId="2B8DC39D" w14:textId="77777777" w:rsidR="003F60FC" w:rsidRDefault="003F60FC" w:rsidP="003F60FC">
      <w:pPr>
        <w:rPr>
          <w:rFonts w:cs="Arial"/>
          <w:i/>
          <w:iCs/>
          <w:szCs w:val="24"/>
        </w:rPr>
      </w:pPr>
      <w:r w:rsidRPr="009E304A">
        <w:rPr>
          <w:rFonts w:cs="Arial"/>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789639AC" w14:textId="77777777" w:rsidR="008D604E" w:rsidRPr="007C1BA1" w:rsidRDefault="008D604E" w:rsidP="008D604E">
      <w:pPr>
        <w:pStyle w:val="Heading2"/>
        <w:rPr>
          <w:rFonts w:eastAsia="Calibri"/>
        </w:rPr>
      </w:pPr>
      <w:bookmarkStart w:id="4" w:name="_Toc308959946"/>
      <w:bookmarkStart w:id="5" w:name="_Toc6832888"/>
      <w:r w:rsidRPr="007C1BA1">
        <w:rPr>
          <w:rFonts w:eastAsia="Calibri"/>
        </w:rPr>
        <w:t>Course Format</w:t>
      </w:r>
      <w:bookmarkEnd w:id="4"/>
      <w:bookmarkEnd w:id="5"/>
    </w:p>
    <w:p w14:paraId="362F71F2" w14:textId="77777777" w:rsidR="008D604E" w:rsidRPr="008C0658" w:rsidRDefault="008D604E" w:rsidP="008D604E">
      <w:pPr>
        <w:rPr>
          <w:b/>
        </w:rPr>
      </w:pPr>
      <w:r w:rsidRPr="008C0658">
        <w:t xml:space="preserve">Information will be presented through </w:t>
      </w:r>
      <w:r>
        <w:t xml:space="preserve">review of readings, class discussion and exploring specific examples of evaluation templates. </w:t>
      </w:r>
    </w:p>
    <w:p w14:paraId="5533317F" w14:textId="77777777" w:rsidR="008D604E" w:rsidRPr="00FA3015" w:rsidRDefault="008D604E" w:rsidP="008D604E">
      <w:pPr>
        <w:pStyle w:val="Heading2"/>
      </w:pPr>
      <w:bookmarkStart w:id="6" w:name="_Toc6832889"/>
      <w:r w:rsidRPr="00FA3015">
        <w:t>Required Texts:</w:t>
      </w:r>
      <w:bookmarkEnd w:id="6"/>
    </w:p>
    <w:p w14:paraId="27FEB426" w14:textId="77777777" w:rsidR="008D604E" w:rsidRPr="00EC3037" w:rsidRDefault="008D604E" w:rsidP="008D604E">
      <w:pPr>
        <w:pStyle w:val="ListParagraph"/>
        <w:numPr>
          <w:ilvl w:val="0"/>
          <w:numId w:val="29"/>
        </w:numPr>
        <w:rPr>
          <w:b/>
          <w:lang w:eastAsia="en-CA"/>
        </w:rPr>
      </w:pPr>
      <w:r w:rsidRPr="00EC3037">
        <w:rPr>
          <w:lang w:eastAsia="en-CA"/>
        </w:rPr>
        <w:t>Journal articles that are available through the McMaster library w</w:t>
      </w:r>
      <w:r>
        <w:rPr>
          <w:lang w:eastAsia="en-CA"/>
        </w:rPr>
        <w:t>ill be accessed electronically.</w:t>
      </w:r>
    </w:p>
    <w:p w14:paraId="7151D591" w14:textId="77777777" w:rsidR="008D604E" w:rsidRPr="009E304A" w:rsidRDefault="008D604E" w:rsidP="008D604E">
      <w:pPr>
        <w:pStyle w:val="ListParagraph"/>
        <w:numPr>
          <w:ilvl w:val="0"/>
          <w:numId w:val="29"/>
        </w:numPr>
        <w:rPr>
          <w:b/>
          <w:lang w:eastAsia="en-CA"/>
        </w:rPr>
      </w:pPr>
      <w:r w:rsidRPr="00EC3037">
        <w:rPr>
          <w:lang w:eastAsia="en-CA"/>
        </w:rPr>
        <w:t>Other course material is available online and the url has been pasted in the course outline</w:t>
      </w:r>
      <w:r>
        <w:rPr>
          <w:lang w:eastAsia="en-CA"/>
        </w:rPr>
        <w:t xml:space="preserve"> and/or the material has been placed on the course website.</w:t>
      </w:r>
    </w:p>
    <w:p w14:paraId="6B7B0B9E" w14:textId="77777777" w:rsidR="008D604E" w:rsidRDefault="008D604E" w:rsidP="008D604E">
      <w:pPr>
        <w:pStyle w:val="Heading1"/>
      </w:pPr>
      <w:bookmarkStart w:id="7" w:name="_Toc6832890"/>
      <w:r>
        <w:lastRenderedPageBreak/>
        <w:t>Course Requirements/Assignments</w:t>
      </w:r>
      <w:bookmarkEnd w:id="7"/>
    </w:p>
    <w:p w14:paraId="6A79949F" w14:textId="77777777" w:rsidR="008D604E" w:rsidRPr="007C1BA1" w:rsidRDefault="008D604E" w:rsidP="008D604E">
      <w:pPr>
        <w:pStyle w:val="Heading2"/>
        <w:rPr>
          <w:rFonts w:eastAsia="Calibri"/>
        </w:rPr>
      </w:pPr>
      <w:bookmarkStart w:id="8" w:name="_Toc6832891"/>
      <w:r>
        <w:rPr>
          <w:rFonts w:eastAsia="Calibri"/>
        </w:rPr>
        <w:t>Requirements Overview and Deadlines</w:t>
      </w:r>
      <w:bookmarkEnd w:id="8"/>
    </w:p>
    <w:p w14:paraId="55478B13" w14:textId="77777777" w:rsidR="008D604E" w:rsidRDefault="008D604E" w:rsidP="008D604E">
      <w:pPr>
        <w:pStyle w:val="ListParagraph"/>
        <w:numPr>
          <w:ilvl w:val="0"/>
          <w:numId w:val="26"/>
        </w:numPr>
      </w:pPr>
      <w:r>
        <w:t>Participation (10%)</w:t>
      </w:r>
    </w:p>
    <w:p w14:paraId="34AF46A6" w14:textId="77777777" w:rsidR="008D604E" w:rsidRDefault="008D604E" w:rsidP="008D604E">
      <w:pPr>
        <w:pStyle w:val="ListParagraph"/>
        <w:numPr>
          <w:ilvl w:val="0"/>
          <w:numId w:val="26"/>
        </w:numPr>
      </w:pPr>
      <w:r>
        <w:t>Assignment: Develop program theory of change (30%) – due May 23, 2019</w:t>
      </w:r>
    </w:p>
    <w:p w14:paraId="4336139D" w14:textId="2BB41112" w:rsidR="008D604E" w:rsidRDefault="008D604E" w:rsidP="008D604E">
      <w:pPr>
        <w:pStyle w:val="ListParagraph"/>
        <w:numPr>
          <w:ilvl w:val="0"/>
          <w:numId w:val="26"/>
        </w:numPr>
      </w:pPr>
      <w:r>
        <w:t>Assignment: Design an evaluation (45%) – due June 1</w:t>
      </w:r>
      <w:r w:rsidR="00122AEF">
        <w:t>0</w:t>
      </w:r>
      <w:r>
        <w:t>, 2019</w:t>
      </w:r>
    </w:p>
    <w:p w14:paraId="0C9B488D" w14:textId="77777777" w:rsidR="008D604E" w:rsidRPr="007C1BA1" w:rsidRDefault="008D604E" w:rsidP="008D604E">
      <w:pPr>
        <w:pStyle w:val="ListParagraph"/>
        <w:numPr>
          <w:ilvl w:val="0"/>
          <w:numId w:val="26"/>
        </w:numPr>
      </w:pPr>
      <w:r>
        <w:t>Assignment: Repurposing evaluation (15%) – due June 20, 2019</w:t>
      </w:r>
    </w:p>
    <w:p w14:paraId="3C3B0CE2" w14:textId="77777777" w:rsidR="008D604E" w:rsidRDefault="008D604E" w:rsidP="007C1BA1">
      <w:pPr>
        <w:pStyle w:val="Heading2"/>
      </w:pPr>
      <w:bookmarkStart w:id="9" w:name="_Toc6832892"/>
      <w:r>
        <w:t>Requirement/Assig</w:t>
      </w:r>
      <w:r w:rsidR="00203321">
        <w:t>n</w:t>
      </w:r>
      <w:r>
        <w:t>ment Details</w:t>
      </w:r>
      <w:bookmarkEnd w:id="9"/>
    </w:p>
    <w:p w14:paraId="406A14C4" w14:textId="77777777" w:rsidR="008D604E" w:rsidRPr="00176A24" w:rsidRDefault="008D604E" w:rsidP="00160440">
      <w:pPr>
        <w:pStyle w:val="ListParagraph"/>
        <w:numPr>
          <w:ilvl w:val="0"/>
          <w:numId w:val="30"/>
        </w:numPr>
        <w:contextualSpacing w:val="0"/>
        <w:rPr>
          <w:b/>
          <w:u w:val="single"/>
          <w:lang w:eastAsia="zh-CN"/>
        </w:rPr>
      </w:pPr>
      <w:r w:rsidRPr="00176A24">
        <w:rPr>
          <w:u w:val="single"/>
          <w:lang w:eastAsia="zh-CN"/>
        </w:rPr>
        <w:t>Participation: 10%</w:t>
      </w:r>
    </w:p>
    <w:p w14:paraId="40AB74CD" w14:textId="77777777" w:rsidR="008D604E" w:rsidRPr="00160440" w:rsidRDefault="008D604E" w:rsidP="00160440">
      <w:pPr>
        <w:pStyle w:val="ListParagraph"/>
        <w:numPr>
          <w:ilvl w:val="1"/>
          <w:numId w:val="30"/>
        </w:numPr>
        <w:contextualSpacing w:val="0"/>
        <w:rPr>
          <w:b/>
          <w:lang w:eastAsia="zh-CN"/>
        </w:rPr>
      </w:pPr>
      <w:r w:rsidRPr="00160440">
        <w:rPr>
          <w:lang w:eastAsia="zh-CN"/>
        </w:rPr>
        <w:t xml:space="preserve">The course will be a combination of presentations, discussions and exercises.  Students are expected to come to class having read the assigned readings and prepared to ask questions and enter into </w:t>
      </w:r>
      <w:r w:rsidR="00160440">
        <w:rPr>
          <w:lang w:eastAsia="zh-CN"/>
        </w:rPr>
        <w:t>discussion.</w:t>
      </w:r>
    </w:p>
    <w:p w14:paraId="0CACAEE6" w14:textId="77777777" w:rsidR="008D604E" w:rsidRPr="00160440" w:rsidRDefault="008D604E" w:rsidP="00160440">
      <w:pPr>
        <w:pStyle w:val="ListParagraph"/>
        <w:numPr>
          <w:ilvl w:val="0"/>
          <w:numId w:val="30"/>
        </w:numPr>
        <w:contextualSpacing w:val="0"/>
        <w:rPr>
          <w:b/>
          <w:lang w:eastAsia="zh-CN"/>
        </w:rPr>
      </w:pPr>
      <w:r w:rsidRPr="00176A24">
        <w:rPr>
          <w:u w:val="single"/>
          <w:lang w:eastAsia="zh-CN"/>
        </w:rPr>
        <w:t>Devel</w:t>
      </w:r>
      <w:r w:rsidR="00160440" w:rsidRPr="00176A24">
        <w:rPr>
          <w:u w:val="single"/>
          <w:lang w:eastAsia="zh-CN"/>
        </w:rPr>
        <w:t xml:space="preserve">op a program theory of change: </w:t>
      </w:r>
      <w:r w:rsidRPr="00176A24">
        <w:rPr>
          <w:u w:val="single"/>
          <w:lang w:eastAsia="zh-CN"/>
        </w:rPr>
        <w:t>30%</w:t>
      </w:r>
      <w:r w:rsidR="00160440" w:rsidRPr="00176A24">
        <w:rPr>
          <w:u w:val="single"/>
          <w:lang w:eastAsia="zh-CN"/>
        </w:rPr>
        <w:t>,</w:t>
      </w:r>
      <w:r w:rsidR="00160440">
        <w:rPr>
          <w:lang w:eastAsia="zh-CN"/>
        </w:rPr>
        <w:t xml:space="preserve"> </w:t>
      </w:r>
      <w:r w:rsidRPr="00176A24">
        <w:rPr>
          <w:b/>
          <w:lang w:eastAsia="zh-CN"/>
        </w:rPr>
        <w:t>Due May 23, 2019</w:t>
      </w:r>
    </w:p>
    <w:p w14:paraId="57BE5989" w14:textId="77777777" w:rsidR="008D604E" w:rsidRDefault="008D604E" w:rsidP="00160440">
      <w:pPr>
        <w:pStyle w:val="ListParagraph"/>
        <w:numPr>
          <w:ilvl w:val="1"/>
          <w:numId w:val="30"/>
        </w:numPr>
        <w:contextualSpacing w:val="0"/>
        <w:rPr>
          <w:b/>
          <w:lang w:eastAsia="zh-CN"/>
        </w:rPr>
      </w:pPr>
      <w:r w:rsidRPr="00160440">
        <w:rPr>
          <w:lang w:eastAsia="zh-CN"/>
        </w:rPr>
        <w:t>Select a social service program or community initiative with which you are familiar.  Describe this program in terms of the broader mission of the agency in which it is</w:t>
      </w:r>
      <w:r>
        <w:rPr>
          <w:lang w:eastAsia="zh-CN"/>
        </w:rPr>
        <w:t xml:space="preserve"> located, the specific aims of the program, the population served by the program and the expected results.</w:t>
      </w:r>
    </w:p>
    <w:p w14:paraId="3C7DCE83" w14:textId="77777777" w:rsidR="008D604E" w:rsidRPr="004F1A11" w:rsidRDefault="008D604E" w:rsidP="00160440">
      <w:pPr>
        <w:pStyle w:val="ListParagraph"/>
        <w:numPr>
          <w:ilvl w:val="1"/>
          <w:numId w:val="30"/>
        </w:numPr>
        <w:contextualSpacing w:val="0"/>
        <w:rPr>
          <w:b/>
          <w:lang w:eastAsia="zh-CN"/>
        </w:rPr>
      </w:pPr>
      <w:r w:rsidRPr="004F1A11">
        <w:rPr>
          <w:lang w:eastAsia="zh-CN"/>
        </w:rPr>
        <w:t xml:space="preserve">Draw a ‘theory of change’ diagram specific to this program or initiative, for the purpose of setting up an evaluation. </w:t>
      </w:r>
      <w:r w:rsidRPr="004F1A11">
        <w:rPr>
          <w:i/>
          <w:lang w:eastAsia="zh-CN"/>
        </w:rPr>
        <w:t>(Remember that some programs have maintenance of well-being, not change as a primary goal).</w:t>
      </w:r>
      <w:r w:rsidRPr="004F1A11">
        <w:rPr>
          <w:lang w:eastAsia="zh-CN"/>
        </w:rPr>
        <w:t xml:space="preserve"> </w:t>
      </w:r>
      <w:r>
        <w:rPr>
          <w:lang w:eastAsia="zh-CN"/>
        </w:rPr>
        <w:t xml:space="preserve">Identify the long-term change goals of the program, identify what needs to be in place for this change to happen (assumptions and/or pre-conditions), map outcomes, tie outcomes to interventions and suggest indicators of outcomes being met. Develop a narrative about the theory of change for this program. </w:t>
      </w:r>
      <w:r w:rsidRPr="004F1A11">
        <w:rPr>
          <w:lang w:eastAsia="zh-CN"/>
        </w:rPr>
        <w:t xml:space="preserve">Make note of any uncertainties or challenges in identifying aims, outcomes and/or indicators. Include both the diagram of your change theory as well as text explaining the diagram. </w:t>
      </w:r>
    </w:p>
    <w:p w14:paraId="41684717" w14:textId="77777777" w:rsidR="008D604E" w:rsidRPr="00BF7A58" w:rsidRDefault="008D604E" w:rsidP="00160440">
      <w:pPr>
        <w:pStyle w:val="ListParagraph"/>
        <w:numPr>
          <w:ilvl w:val="1"/>
          <w:numId w:val="30"/>
        </w:numPr>
        <w:contextualSpacing w:val="0"/>
        <w:rPr>
          <w:lang w:eastAsia="zh-CN"/>
        </w:rPr>
      </w:pPr>
      <w:r w:rsidRPr="004F1A11">
        <w:rPr>
          <w:lang w:eastAsia="zh-CN"/>
        </w:rPr>
        <w:t>This assi</w:t>
      </w:r>
      <w:r>
        <w:rPr>
          <w:lang w:eastAsia="zh-CN"/>
        </w:rPr>
        <w:t>gnment should be approximately 7-9</w:t>
      </w:r>
      <w:r w:rsidRPr="004F1A11">
        <w:rPr>
          <w:lang w:eastAsia="zh-CN"/>
        </w:rPr>
        <w:t xml:space="preserve"> pages long including the textual explanation and a one</w:t>
      </w:r>
      <w:r>
        <w:rPr>
          <w:lang w:eastAsia="zh-CN"/>
        </w:rPr>
        <w:t>-</w:t>
      </w:r>
      <w:r w:rsidRPr="004F1A11">
        <w:rPr>
          <w:lang w:eastAsia="zh-CN"/>
        </w:rPr>
        <w:t xml:space="preserve">page diagram. The diagram can be presented in sections and addressed within the text or presented in its entirety in the text or as an appendix.  If it is addressed in sections, please provide an </w:t>
      </w:r>
      <w:r>
        <w:rPr>
          <w:lang w:eastAsia="zh-CN"/>
        </w:rPr>
        <w:t>entire diagram as an appendix.</w:t>
      </w:r>
    </w:p>
    <w:p w14:paraId="587C0C7B" w14:textId="4BA0B3A3" w:rsidR="008D604E" w:rsidRPr="00530339" w:rsidRDefault="00160440" w:rsidP="00160440">
      <w:pPr>
        <w:pStyle w:val="ListParagraph"/>
        <w:numPr>
          <w:ilvl w:val="0"/>
          <w:numId w:val="30"/>
        </w:numPr>
        <w:contextualSpacing w:val="0"/>
        <w:rPr>
          <w:lang w:eastAsia="zh-CN"/>
        </w:rPr>
      </w:pPr>
      <w:r w:rsidRPr="00176A24">
        <w:rPr>
          <w:u w:val="single"/>
          <w:lang w:eastAsia="zh-CN"/>
        </w:rPr>
        <w:t xml:space="preserve">Design an evaluation: </w:t>
      </w:r>
      <w:r w:rsidR="008D604E" w:rsidRPr="00176A24">
        <w:rPr>
          <w:u w:val="single"/>
          <w:lang w:eastAsia="zh-CN"/>
        </w:rPr>
        <w:t>45</w:t>
      </w:r>
      <w:r w:rsidRPr="00176A24">
        <w:rPr>
          <w:u w:val="single"/>
          <w:lang w:eastAsia="zh-CN"/>
        </w:rPr>
        <w:t>%,</w:t>
      </w:r>
      <w:r>
        <w:rPr>
          <w:lang w:eastAsia="zh-CN"/>
        </w:rPr>
        <w:t xml:space="preserve"> </w:t>
      </w:r>
      <w:r w:rsidR="008D604E" w:rsidRPr="00176A24">
        <w:rPr>
          <w:b/>
          <w:lang w:eastAsia="zh-CN"/>
        </w:rPr>
        <w:t>Due June 1</w:t>
      </w:r>
      <w:r w:rsidR="00122AEF">
        <w:rPr>
          <w:b/>
          <w:lang w:eastAsia="zh-CN"/>
        </w:rPr>
        <w:t>0</w:t>
      </w:r>
      <w:r w:rsidR="008D604E" w:rsidRPr="00176A24">
        <w:rPr>
          <w:b/>
          <w:lang w:eastAsia="zh-CN"/>
        </w:rPr>
        <w:t>, 2019</w:t>
      </w:r>
    </w:p>
    <w:p w14:paraId="29F79D55" w14:textId="77777777" w:rsidR="008D604E" w:rsidRPr="004F1A11" w:rsidRDefault="008D604E" w:rsidP="00160440">
      <w:pPr>
        <w:pStyle w:val="ListParagraph"/>
        <w:numPr>
          <w:ilvl w:val="1"/>
          <w:numId w:val="30"/>
        </w:numPr>
        <w:contextualSpacing w:val="0"/>
        <w:rPr>
          <w:b/>
          <w:lang w:eastAsia="zh-CN"/>
        </w:rPr>
      </w:pPr>
      <w:r w:rsidRPr="004F1A11">
        <w:rPr>
          <w:lang w:eastAsia="zh-CN"/>
        </w:rPr>
        <w:t xml:space="preserve">This assignment involves you situating the program or initiative you discussed in Assignment 2 in its wider organizational context and designing </w:t>
      </w:r>
      <w:r w:rsidR="00160440">
        <w:rPr>
          <w:lang w:eastAsia="zh-CN"/>
        </w:rPr>
        <w:t>an evaluation for that program.</w:t>
      </w:r>
    </w:p>
    <w:p w14:paraId="1B5B86C5" w14:textId="77777777" w:rsidR="008D604E" w:rsidRPr="004F1A11" w:rsidRDefault="008D604E" w:rsidP="00160440">
      <w:pPr>
        <w:pStyle w:val="ListParagraph"/>
        <w:numPr>
          <w:ilvl w:val="1"/>
          <w:numId w:val="30"/>
        </w:numPr>
        <w:contextualSpacing w:val="0"/>
        <w:rPr>
          <w:b/>
          <w:lang w:eastAsia="zh-CN"/>
        </w:rPr>
      </w:pPr>
      <w:r w:rsidRPr="004F1A11">
        <w:rPr>
          <w:lang w:eastAsia="zh-CN"/>
        </w:rPr>
        <w:lastRenderedPageBreak/>
        <w:t xml:space="preserve">The evaluation design should answer the following questions: </w:t>
      </w:r>
    </w:p>
    <w:p w14:paraId="214DF295" w14:textId="77777777" w:rsidR="008D604E" w:rsidRPr="004F1A11" w:rsidRDefault="008D604E" w:rsidP="00176A24">
      <w:pPr>
        <w:pStyle w:val="ListParagraph"/>
        <w:numPr>
          <w:ilvl w:val="2"/>
          <w:numId w:val="30"/>
        </w:numPr>
        <w:rPr>
          <w:b/>
          <w:lang w:eastAsia="zh-CN"/>
        </w:rPr>
      </w:pPr>
      <w:r w:rsidRPr="004F1A11">
        <w:rPr>
          <w:lang w:eastAsia="zh-CN"/>
        </w:rPr>
        <w:t xml:space="preserve">What is the </w:t>
      </w:r>
      <w:r w:rsidRPr="003E4F1E">
        <w:rPr>
          <w:b/>
          <w:lang w:eastAsia="zh-CN"/>
        </w:rPr>
        <w:t>purpose</w:t>
      </w:r>
      <w:r w:rsidRPr="004F1A11">
        <w:rPr>
          <w:lang w:eastAsia="zh-CN"/>
        </w:rPr>
        <w:t xml:space="preserve"> of the evaluation, including the scope and intent?</w:t>
      </w:r>
    </w:p>
    <w:p w14:paraId="46600EC0" w14:textId="77777777" w:rsidR="008D604E" w:rsidRPr="004F1A11" w:rsidRDefault="008D604E" w:rsidP="00176A24">
      <w:pPr>
        <w:pStyle w:val="ListParagraph"/>
        <w:numPr>
          <w:ilvl w:val="2"/>
          <w:numId w:val="30"/>
        </w:numPr>
        <w:rPr>
          <w:b/>
          <w:lang w:eastAsia="zh-CN"/>
        </w:rPr>
      </w:pPr>
      <w:r w:rsidRPr="004F1A11">
        <w:rPr>
          <w:lang w:eastAsia="zh-CN"/>
        </w:rPr>
        <w:t>What are some important organizational</w:t>
      </w:r>
      <w:r>
        <w:rPr>
          <w:lang w:eastAsia="zh-CN"/>
        </w:rPr>
        <w:t xml:space="preserve"> issues </w:t>
      </w:r>
      <w:r w:rsidRPr="004F1A11">
        <w:rPr>
          <w:lang w:eastAsia="zh-CN"/>
        </w:rPr>
        <w:t xml:space="preserve">in the </w:t>
      </w:r>
      <w:r w:rsidRPr="003E4F1E">
        <w:rPr>
          <w:b/>
          <w:lang w:eastAsia="zh-CN"/>
        </w:rPr>
        <w:t>context</w:t>
      </w:r>
      <w:r w:rsidRPr="004F1A11">
        <w:rPr>
          <w:lang w:eastAsia="zh-CN"/>
        </w:rPr>
        <w:t xml:space="preserve"> for this evaluation?</w:t>
      </w:r>
    </w:p>
    <w:p w14:paraId="6E22C6AC" w14:textId="77777777" w:rsidR="008D604E" w:rsidRPr="004F1A11" w:rsidRDefault="008D604E" w:rsidP="00176A24">
      <w:pPr>
        <w:pStyle w:val="ListParagraph"/>
        <w:numPr>
          <w:ilvl w:val="2"/>
          <w:numId w:val="30"/>
        </w:numPr>
        <w:rPr>
          <w:b/>
          <w:lang w:eastAsia="zh-CN"/>
        </w:rPr>
      </w:pPr>
      <w:r w:rsidRPr="004F1A11">
        <w:rPr>
          <w:lang w:eastAsia="zh-CN"/>
        </w:rPr>
        <w:t xml:space="preserve">Who are the key </w:t>
      </w:r>
      <w:r w:rsidRPr="003E4F1E">
        <w:rPr>
          <w:b/>
          <w:lang w:eastAsia="zh-CN"/>
        </w:rPr>
        <w:t>stakeholders</w:t>
      </w:r>
      <w:r w:rsidRPr="004F1A11">
        <w:rPr>
          <w:lang w:eastAsia="zh-CN"/>
        </w:rPr>
        <w:t xml:space="preserve"> in the evaluation and what complex social relations do you anticipate?  </w:t>
      </w:r>
      <w:r>
        <w:rPr>
          <w:lang w:eastAsia="zh-CN"/>
        </w:rPr>
        <w:t xml:space="preserve">(Remember stakeholders are not just program participants, but those who have an interest in the program being evaluated) </w:t>
      </w:r>
      <w:r w:rsidRPr="004F1A11">
        <w:rPr>
          <w:lang w:eastAsia="zh-CN"/>
        </w:rPr>
        <w:t>How will you include these stakeholders throughout the course of the evaluation?  How will you address issues of differences in power among the stakeholders?</w:t>
      </w:r>
    </w:p>
    <w:p w14:paraId="472C960A" w14:textId="77777777" w:rsidR="008D604E" w:rsidRPr="004F1A11" w:rsidRDefault="008D604E" w:rsidP="00176A24">
      <w:pPr>
        <w:pStyle w:val="ListParagraph"/>
        <w:numPr>
          <w:ilvl w:val="2"/>
          <w:numId w:val="30"/>
        </w:numPr>
        <w:rPr>
          <w:b/>
          <w:lang w:eastAsia="zh-CN"/>
        </w:rPr>
      </w:pPr>
      <w:r w:rsidRPr="004F1A11">
        <w:rPr>
          <w:lang w:eastAsia="zh-CN"/>
        </w:rPr>
        <w:t xml:space="preserve">Describe the program being evaluated and the </w:t>
      </w:r>
      <w:r w:rsidRPr="003E4F1E">
        <w:rPr>
          <w:b/>
          <w:lang w:eastAsia="zh-CN"/>
        </w:rPr>
        <w:t>theory of change</w:t>
      </w:r>
      <w:r w:rsidRPr="004F1A11">
        <w:rPr>
          <w:lang w:eastAsia="zh-CN"/>
        </w:rPr>
        <w:t xml:space="preserve"> which informs the program (you will incorporate the theory of change material you developed for the previous assignment) </w:t>
      </w:r>
    </w:p>
    <w:p w14:paraId="1484EAA8" w14:textId="77777777" w:rsidR="008D604E" w:rsidRPr="004F1A11" w:rsidRDefault="008D604E" w:rsidP="00176A24">
      <w:pPr>
        <w:pStyle w:val="ListParagraph"/>
        <w:numPr>
          <w:ilvl w:val="2"/>
          <w:numId w:val="30"/>
        </w:numPr>
        <w:rPr>
          <w:b/>
          <w:lang w:eastAsia="zh-CN"/>
        </w:rPr>
      </w:pPr>
      <w:r w:rsidRPr="004F1A11">
        <w:rPr>
          <w:lang w:eastAsia="zh-CN"/>
        </w:rPr>
        <w:t xml:space="preserve">What specific evaluation </w:t>
      </w:r>
      <w:r w:rsidRPr="003E4F1E">
        <w:rPr>
          <w:b/>
          <w:lang w:eastAsia="zh-CN"/>
        </w:rPr>
        <w:t>method(s)</w:t>
      </w:r>
      <w:r w:rsidRPr="004F1A11">
        <w:rPr>
          <w:lang w:eastAsia="zh-CN"/>
        </w:rPr>
        <w:t xml:space="preserve"> would you use for this evaluation [drawing from course examples]</w:t>
      </w:r>
      <w:r>
        <w:rPr>
          <w:lang w:eastAsia="zh-CN"/>
        </w:rPr>
        <w:t>.</w:t>
      </w:r>
      <w:r w:rsidRPr="004F1A11">
        <w:rPr>
          <w:lang w:eastAsia="zh-CN"/>
        </w:rPr>
        <w:t xml:space="preserve"> </w:t>
      </w:r>
      <w:r>
        <w:rPr>
          <w:lang w:eastAsia="zh-CN"/>
        </w:rPr>
        <w:t>Please describe the approach taken by this evaluation method and the tools used by this method.</w:t>
      </w:r>
    </w:p>
    <w:p w14:paraId="4A2AED85" w14:textId="77777777" w:rsidR="008D604E" w:rsidRPr="004F1A11" w:rsidRDefault="008D604E" w:rsidP="00176A24">
      <w:pPr>
        <w:pStyle w:val="ListParagraph"/>
        <w:numPr>
          <w:ilvl w:val="2"/>
          <w:numId w:val="30"/>
        </w:numPr>
        <w:rPr>
          <w:b/>
          <w:lang w:eastAsia="zh-CN"/>
        </w:rPr>
      </w:pPr>
      <w:r w:rsidRPr="004F1A11">
        <w:rPr>
          <w:lang w:eastAsia="zh-CN"/>
        </w:rPr>
        <w:t xml:space="preserve">What </w:t>
      </w:r>
      <w:r w:rsidRPr="003E4F1E">
        <w:rPr>
          <w:b/>
          <w:lang w:eastAsia="zh-CN"/>
        </w:rPr>
        <w:t>data</w:t>
      </w:r>
      <w:r w:rsidRPr="004F1A11">
        <w:rPr>
          <w:lang w:eastAsia="zh-CN"/>
        </w:rPr>
        <w:t xml:space="preserve"> would you collect from what </w:t>
      </w:r>
      <w:r w:rsidRPr="003E4F1E">
        <w:rPr>
          <w:b/>
          <w:lang w:eastAsia="zh-CN"/>
        </w:rPr>
        <w:t>sources</w:t>
      </w:r>
      <w:r w:rsidR="003E4F1E">
        <w:rPr>
          <w:lang w:eastAsia="zh-CN"/>
        </w:rPr>
        <w:t xml:space="preserve">? </w:t>
      </w:r>
      <w:r w:rsidRPr="004F1A11">
        <w:rPr>
          <w:lang w:eastAsia="zh-CN"/>
        </w:rPr>
        <w:t xml:space="preserve">Provide a detailed description for </w:t>
      </w:r>
      <w:r w:rsidRPr="003E4F1E">
        <w:rPr>
          <w:b/>
          <w:lang w:eastAsia="zh-CN"/>
        </w:rPr>
        <w:t>one</w:t>
      </w:r>
      <w:r w:rsidRPr="004F1A11">
        <w:rPr>
          <w:lang w:eastAsia="zh-CN"/>
        </w:rPr>
        <w:t xml:space="preserve"> aspect of data collection (e.g. an interview guide, a survey, etc.) What complications do yo</w:t>
      </w:r>
      <w:r w:rsidR="003E4F1E">
        <w:rPr>
          <w:lang w:eastAsia="zh-CN"/>
        </w:rPr>
        <w:t>u anticipate in gathering data?</w:t>
      </w:r>
    </w:p>
    <w:p w14:paraId="6BE6F3E3" w14:textId="77777777" w:rsidR="008D604E" w:rsidRPr="004F1A11" w:rsidRDefault="008D604E" w:rsidP="00176A24">
      <w:pPr>
        <w:pStyle w:val="ListParagraph"/>
        <w:numPr>
          <w:ilvl w:val="2"/>
          <w:numId w:val="30"/>
        </w:numPr>
        <w:rPr>
          <w:b/>
          <w:lang w:eastAsia="zh-CN"/>
        </w:rPr>
      </w:pPr>
      <w:r w:rsidRPr="004F1A11">
        <w:rPr>
          <w:lang w:eastAsia="zh-CN"/>
        </w:rPr>
        <w:t xml:space="preserve">How will you </w:t>
      </w:r>
      <w:r w:rsidRPr="003E4F1E">
        <w:rPr>
          <w:b/>
          <w:lang w:eastAsia="zh-CN"/>
        </w:rPr>
        <w:t>report</w:t>
      </w:r>
      <w:r w:rsidRPr="004F1A11">
        <w:rPr>
          <w:lang w:eastAsia="zh-CN"/>
        </w:rPr>
        <w:t xml:space="preserve"> the results of the evaluation and to what audiences?</w:t>
      </w:r>
    </w:p>
    <w:p w14:paraId="16272CE0" w14:textId="77777777" w:rsidR="008D604E" w:rsidRPr="004F1A11" w:rsidRDefault="008D604E" w:rsidP="00160440">
      <w:pPr>
        <w:pStyle w:val="ListParagraph"/>
        <w:numPr>
          <w:ilvl w:val="2"/>
          <w:numId w:val="30"/>
        </w:numPr>
        <w:contextualSpacing w:val="0"/>
        <w:rPr>
          <w:b/>
          <w:lang w:eastAsia="zh-CN"/>
        </w:rPr>
      </w:pPr>
      <w:r w:rsidRPr="004F1A11">
        <w:rPr>
          <w:lang w:eastAsia="zh-CN"/>
        </w:rPr>
        <w:t xml:space="preserve">What processes would you recommend for </w:t>
      </w:r>
      <w:r w:rsidRPr="003E4F1E">
        <w:rPr>
          <w:b/>
          <w:lang w:eastAsia="zh-CN"/>
        </w:rPr>
        <w:t>organizational learning</w:t>
      </w:r>
      <w:r w:rsidRPr="004F1A11">
        <w:rPr>
          <w:lang w:eastAsia="zh-CN"/>
        </w:rPr>
        <w:t xml:space="preserve"> and integration of</w:t>
      </w:r>
      <w:r w:rsidR="00160440">
        <w:rPr>
          <w:lang w:eastAsia="zh-CN"/>
        </w:rPr>
        <w:t xml:space="preserve"> the results into the program?</w:t>
      </w:r>
    </w:p>
    <w:p w14:paraId="77F145F1" w14:textId="77777777" w:rsidR="008D604E" w:rsidRDefault="008D604E" w:rsidP="00160440">
      <w:pPr>
        <w:pStyle w:val="ListParagraph"/>
        <w:numPr>
          <w:ilvl w:val="1"/>
          <w:numId w:val="30"/>
        </w:numPr>
        <w:contextualSpacing w:val="0"/>
        <w:rPr>
          <w:b/>
          <w:lang w:eastAsia="zh-CN"/>
        </w:rPr>
      </w:pPr>
      <w:r w:rsidRPr="004F1A11">
        <w:rPr>
          <w:lang w:eastAsia="zh-CN"/>
        </w:rPr>
        <w:t xml:space="preserve">This assignment should be approximately </w:t>
      </w:r>
      <w:r>
        <w:rPr>
          <w:lang w:eastAsia="zh-CN"/>
        </w:rPr>
        <w:t xml:space="preserve">17-20 pages.  The context questions (purpose, context and stakeholders should take no more than six pages) with the primary focus on the evaluation itself. </w:t>
      </w:r>
    </w:p>
    <w:p w14:paraId="7E153412" w14:textId="77777777" w:rsidR="008D604E" w:rsidRPr="004F1A11" w:rsidRDefault="008D604E" w:rsidP="00160440">
      <w:pPr>
        <w:pStyle w:val="ListParagraph"/>
        <w:numPr>
          <w:ilvl w:val="0"/>
          <w:numId w:val="30"/>
        </w:numPr>
        <w:contextualSpacing w:val="0"/>
        <w:rPr>
          <w:b/>
          <w:lang w:eastAsia="zh-CN"/>
        </w:rPr>
      </w:pPr>
      <w:r w:rsidRPr="00176A24">
        <w:rPr>
          <w:u w:val="single"/>
          <w:lang w:eastAsia="zh-CN"/>
        </w:rPr>
        <w:t>Repurposing evaluation for social justice aims: 15%</w:t>
      </w:r>
      <w:r w:rsidR="00160440" w:rsidRPr="00176A24">
        <w:rPr>
          <w:u w:val="single"/>
          <w:lang w:eastAsia="zh-CN"/>
        </w:rPr>
        <w:t>,</w:t>
      </w:r>
      <w:r w:rsidR="00160440">
        <w:rPr>
          <w:lang w:eastAsia="zh-CN"/>
        </w:rPr>
        <w:t xml:space="preserve"> </w:t>
      </w:r>
      <w:r w:rsidRPr="00176A24">
        <w:rPr>
          <w:b/>
          <w:lang w:eastAsia="zh-CN"/>
        </w:rPr>
        <w:t>Due June 20, 2019</w:t>
      </w:r>
    </w:p>
    <w:p w14:paraId="0E7B8AC2" w14:textId="77777777" w:rsidR="008D604E" w:rsidRDefault="008D604E" w:rsidP="00160440">
      <w:pPr>
        <w:pStyle w:val="ListParagraph"/>
        <w:numPr>
          <w:ilvl w:val="1"/>
          <w:numId w:val="30"/>
        </w:numPr>
        <w:contextualSpacing w:val="0"/>
        <w:rPr>
          <w:b/>
          <w:lang w:eastAsia="zh-CN"/>
        </w:rPr>
      </w:pPr>
      <w:r w:rsidRPr="004F1A11">
        <w:rPr>
          <w:lang w:eastAsia="zh-CN"/>
        </w:rPr>
        <w:t>Review a conventional outcome evaluation design (e.g. the outcome evaluation framework for Toronto United Way organizations or Social Return on Investment model or one required by a funder of an organization to which you are connected</w:t>
      </w:r>
      <w:r>
        <w:rPr>
          <w:lang w:eastAsia="zh-CN"/>
        </w:rPr>
        <w:t>; some examples are on the course website</w:t>
      </w:r>
      <w:r w:rsidRPr="004F1A11">
        <w:rPr>
          <w:lang w:eastAsia="zh-CN"/>
        </w:rPr>
        <w:t xml:space="preserve">) and suggest ways at </w:t>
      </w:r>
      <w:r>
        <w:rPr>
          <w:lang w:eastAsia="zh-CN"/>
        </w:rPr>
        <w:t xml:space="preserve">three different </w:t>
      </w:r>
      <w:r w:rsidRPr="004F1A11">
        <w:rPr>
          <w:lang w:eastAsia="zh-CN"/>
        </w:rPr>
        <w:t>step</w:t>
      </w:r>
      <w:r>
        <w:rPr>
          <w:lang w:eastAsia="zh-CN"/>
        </w:rPr>
        <w:t>s</w:t>
      </w:r>
      <w:r w:rsidRPr="004F1A11">
        <w:rPr>
          <w:lang w:eastAsia="zh-CN"/>
        </w:rPr>
        <w:t xml:space="preserve"> of the evaluation process (scope, aims, stakeholders, inputs, outputs, reporting back, etc.) you can move the design (even in small ways) towards greater participation and social justice perspectives. </w:t>
      </w:r>
      <w:r>
        <w:rPr>
          <w:lang w:eastAsia="zh-CN"/>
        </w:rPr>
        <w:t xml:space="preserve">The assumption is that you cannot redesign the format. </w:t>
      </w:r>
    </w:p>
    <w:p w14:paraId="3486DD77" w14:textId="77777777" w:rsidR="008D604E" w:rsidRDefault="008D604E" w:rsidP="003E4F1E">
      <w:pPr>
        <w:pStyle w:val="ListParagraph"/>
        <w:numPr>
          <w:ilvl w:val="2"/>
          <w:numId w:val="30"/>
        </w:numPr>
        <w:rPr>
          <w:b/>
          <w:lang w:eastAsia="zh-CN"/>
        </w:rPr>
      </w:pPr>
      <w:r w:rsidRPr="00867D93">
        <w:rPr>
          <w:lang w:eastAsia="zh-CN"/>
        </w:rPr>
        <w:t>First, identify a conventional evaluation framework and summarize the basic framework for this approach to evaluation</w:t>
      </w:r>
      <w:r>
        <w:rPr>
          <w:lang w:eastAsia="zh-CN"/>
        </w:rPr>
        <w:t xml:space="preserve"> in one page</w:t>
      </w:r>
      <w:r w:rsidRPr="00867D93">
        <w:rPr>
          <w:lang w:eastAsia="zh-CN"/>
        </w:rPr>
        <w:t xml:space="preserve">.  </w:t>
      </w:r>
    </w:p>
    <w:p w14:paraId="34EADF6B" w14:textId="77777777" w:rsidR="008D604E" w:rsidRPr="00867D93" w:rsidRDefault="008D604E" w:rsidP="00160440">
      <w:pPr>
        <w:pStyle w:val="ListParagraph"/>
        <w:numPr>
          <w:ilvl w:val="2"/>
          <w:numId w:val="30"/>
        </w:numPr>
        <w:contextualSpacing w:val="0"/>
        <w:rPr>
          <w:b/>
          <w:lang w:eastAsia="zh-CN"/>
        </w:rPr>
      </w:pPr>
      <w:r w:rsidRPr="00867D93">
        <w:rPr>
          <w:lang w:eastAsia="zh-CN"/>
        </w:rPr>
        <w:lastRenderedPageBreak/>
        <w:t xml:space="preserve">Second, drawing on your own practice experience and the material from the course, identify how you would define a more socially just evaluation process. This could involve both appreciation for particular dimensions of this approach and also critique of this approach. Suggest three ways at three different points in the evaluation where you can move the design (even in small ways) towards greater participation and social justice perspectives.  Reflect on which of the steps you have identified shows the most promise for moving the evaluation in the direction you have outlined. </w:t>
      </w:r>
    </w:p>
    <w:p w14:paraId="3189E6C3" w14:textId="77777777" w:rsidR="008D604E" w:rsidRPr="003E4F1E" w:rsidRDefault="008D604E" w:rsidP="00160440">
      <w:pPr>
        <w:pStyle w:val="ListParagraph"/>
        <w:contextualSpacing w:val="0"/>
        <w:rPr>
          <w:b/>
          <w:lang w:eastAsia="zh-CN"/>
        </w:rPr>
      </w:pPr>
      <w:r w:rsidRPr="003E4F1E">
        <w:rPr>
          <w:b/>
          <w:lang w:eastAsia="zh-CN"/>
        </w:rPr>
        <w:t>OR</w:t>
      </w:r>
    </w:p>
    <w:p w14:paraId="126686FB" w14:textId="77777777" w:rsidR="008D604E" w:rsidRDefault="008D604E" w:rsidP="00160440">
      <w:pPr>
        <w:pStyle w:val="ListParagraph"/>
        <w:numPr>
          <w:ilvl w:val="1"/>
          <w:numId w:val="30"/>
        </w:numPr>
        <w:contextualSpacing w:val="0"/>
        <w:rPr>
          <w:b/>
          <w:lang w:eastAsia="zh-CN"/>
        </w:rPr>
      </w:pPr>
      <w:r>
        <w:rPr>
          <w:lang w:eastAsia="zh-CN"/>
        </w:rPr>
        <w:t>Work with the evaluation that you designed for Assignment 3 and complete the steps above, except that you would summarize your own design evaluation in Step 1 and then complete the remaining steps.</w:t>
      </w:r>
    </w:p>
    <w:p w14:paraId="0255113F" w14:textId="77777777" w:rsidR="008D604E" w:rsidRDefault="008D604E" w:rsidP="00160440">
      <w:pPr>
        <w:pStyle w:val="ListParagraph"/>
        <w:numPr>
          <w:ilvl w:val="1"/>
          <w:numId w:val="30"/>
        </w:numPr>
        <w:contextualSpacing w:val="0"/>
        <w:rPr>
          <w:b/>
          <w:lang w:eastAsia="zh-CN"/>
        </w:rPr>
      </w:pPr>
      <w:r w:rsidRPr="004F1A11">
        <w:rPr>
          <w:lang w:eastAsia="zh-CN"/>
        </w:rPr>
        <w:t xml:space="preserve">This assignment should be approximately </w:t>
      </w:r>
      <w:r>
        <w:rPr>
          <w:lang w:eastAsia="zh-CN"/>
        </w:rPr>
        <w:t>5-7 pages.</w:t>
      </w:r>
    </w:p>
    <w:p w14:paraId="14834AFF" w14:textId="77777777" w:rsidR="00EB2EFF" w:rsidRPr="009E304A" w:rsidRDefault="00EB2EFF" w:rsidP="00EB2EFF">
      <w:pPr>
        <w:pStyle w:val="Heading1"/>
      </w:pPr>
      <w:bookmarkStart w:id="10" w:name="_Toc6832893"/>
      <w:r>
        <w:t>Assignment Submission and Grading</w:t>
      </w:r>
      <w:bookmarkEnd w:id="10"/>
    </w:p>
    <w:p w14:paraId="0BE0D975" w14:textId="77777777" w:rsidR="00773F47" w:rsidRPr="007C1BA1" w:rsidRDefault="00773F47" w:rsidP="007C1BA1">
      <w:pPr>
        <w:pStyle w:val="Heading2"/>
        <w:rPr>
          <w:rFonts w:eastAsia="Calibri"/>
        </w:rPr>
      </w:pPr>
      <w:bookmarkStart w:id="11" w:name="_Toc6832894"/>
      <w:r w:rsidRPr="007C1BA1">
        <w:rPr>
          <w:rFonts w:eastAsia="Calibri"/>
        </w:rPr>
        <w:t>Form and Style</w:t>
      </w:r>
      <w:bookmarkEnd w:id="11"/>
      <w:r w:rsidRPr="007C1BA1">
        <w:rPr>
          <w:rFonts w:eastAsia="Calibri"/>
        </w:rPr>
        <w:t xml:space="preserve"> </w:t>
      </w:r>
    </w:p>
    <w:p w14:paraId="4C030631" w14:textId="77777777" w:rsidR="008C0658" w:rsidRPr="007C1BA1" w:rsidRDefault="00773F47" w:rsidP="007C1BA1">
      <w:pPr>
        <w:pStyle w:val="ListParagraph"/>
        <w:numPr>
          <w:ilvl w:val="0"/>
          <w:numId w:val="25"/>
        </w:numPr>
      </w:pPr>
      <w:r w:rsidRPr="007C1BA1">
        <w:t xml:space="preserve">Written assignments must be typed and double-spaced and submitted with a front page containing the title, student’s name, student number, and the date. Number all pages (except title page). </w:t>
      </w:r>
    </w:p>
    <w:p w14:paraId="2B11517B" w14:textId="77777777" w:rsidR="008C0658" w:rsidRPr="007C1BA1" w:rsidRDefault="00773F47" w:rsidP="007C1BA1">
      <w:pPr>
        <w:pStyle w:val="ListParagraph"/>
        <w:numPr>
          <w:ilvl w:val="0"/>
          <w:numId w:val="25"/>
        </w:numPr>
      </w:pPr>
      <w:r w:rsidRPr="007C1BA1">
        <w:t xml:space="preserve">Assignments should be </w:t>
      </w:r>
      <w:r w:rsidR="00EC3037" w:rsidRPr="007C1BA1">
        <w:t xml:space="preserve">stapled together. Please do NOT </w:t>
      </w:r>
      <w:r w:rsidRPr="007C1BA1">
        <w:t xml:space="preserve">use plastic report covers or binders. </w:t>
      </w:r>
    </w:p>
    <w:p w14:paraId="526FA0B1" w14:textId="77777777" w:rsidR="00EB383D" w:rsidRPr="007C1BA1" w:rsidRDefault="00773F47" w:rsidP="007C1BA1">
      <w:pPr>
        <w:pStyle w:val="ListParagraph"/>
        <w:numPr>
          <w:ilvl w:val="0"/>
          <w:numId w:val="25"/>
        </w:numPr>
      </w:pPr>
      <w:r w:rsidRPr="007C1BA1">
        <w:t xml:space="preserve">Paper format must be in accordance with the current edition of American Psychological Association </w:t>
      </w:r>
      <w:r w:rsidR="00633F6D" w:rsidRPr="007C1BA1">
        <w:t xml:space="preserve">(APA) </w:t>
      </w:r>
      <w:r w:rsidRPr="007C1BA1">
        <w:t>publication manual with particular attention paid to font size (Times-Roman 12), spacing (double spaced) and margins (minimum of 1 inch at the top, botto</w:t>
      </w:r>
      <w:r w:rsidR="00EB383D" w:rsidRPr="007C1BA1">
        <w:t>m, left and right of each page).</w:t>
      </w:r>
    </w:p>
    <w:p w14:paraId="1F748B4E" w14:textId="77777777" w:rsidR="00773F47" w:rsidRPr="007C1BA1" w:rsidRDefault="00773F47" w:rsidP="007C1BA1">
      <w:pPr>
        <w:pStyle w:val="ListParagraph"/>
        <w:numPr>
          <w:ilvl w:val="0"/>
          <w:numId w:val="25"/>
        </w:numPr>
      </w:pPr>
      <w:r w:rsidRPr="007C1BA1">
        <w:t xml:space="preserve">Students are expected to make use of relevant professional and social science literature and other bodies of knowledge in their term assignments. When submitting, please keep a spare copy of your assignments. </w:t>
      </w:r>
    </w:p>
    <w:p w14:paraId="5511037B" w14:textId="77777777" w:rsidR="003F60FC" w:rsidRPr="007C1BA1" w:rsidRDefault="003F60FC" w:rsidP="007C1BA1">
      <w:pPr>
        <w:pStyle w:val="Heading2"/>
      </w:pPr>
      <w:bookmarkStart w:id="12" w:name="_Toc6832895"/>
      <w:r w:rsidRPr="007C1BA1">
        <w:t>Privacy Protection</w:t>
      </w:r>
      <w:bookmarkEnd w:id="12"/>
      <w:r w:rsidRPr="007C1BA1">
        <w:t xml:space="preserve"> </w:t>
      </w:r>
    </w:p>
    <w:p w14:paraId="08BF5EDA" w14:textId="77777777" w:rsidR="003F60FC" w:rsidRPr="007C1BA1" w:rsidRDefault="003F60FC" w:rsidP="007C1BA1">
      <w:r w:rsidRPr="009E304A">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30A68A84" w14:textId="77777777" w:rsidR="003F60FC" w:rsidRPr="009E304A" w:rsidRDefault="00DE499F" w:rsidP="007C1BA1">
      <w:pPr>
        <w:pStyle w:val="ListParagraph"/>
        <w:numPr>
          <w:ilvl w:val="0"/>
          <w:numId w:val="27"/>
        </w:numPr>
      </w:pPr>
      <w:r w:rsidRPr="009E304A">
        <w:t>D</w:t>
      </w:r>
      <w:r w:rsidR="003F60FC" w:rsidRPr="009E304A">
        <w:t>irect return of</w:t>
      </w:r>
      <w:r w:rsidR="007C1BA1">
        <w:t xml:space="preserve"> materials to students in class;</w:t>
      </w:r>
    </w:p>
    <w:p w14:paraId="001CC213" w14:textId="77777777" w:rsidR="003F60FC" w:rsidRPr="009E304A" w:rsidRDefault="00DE499F" w:rsidP="007C1BA1">
      <w:pPr>
        <w:pStyle w:val="ListParagraph"/>
        <w:numPr>
          <w:ilvl w:val="0"/>
          <w:numId w:val="27"/>
        </w:numPr>
      </w:pPr>
      <w:r w:rsidRPr="009E304A">
        <w:t>R</w:t>
      </w:r>
      <w:r w:rsidR="003F60FC" w:rsidRPr="009E304A">
        <w:t>eturn of materials t</w:t>
      </w:r>
      <w:r w:rsidR="007C1BA1">
        <w:t>o students during office hours;</w:t>
      </w:r>
    </w:p>
    <w:p w14:paraId="6A4DF764" w14:textId="77777777" w:rsidR="003F60FC" w:rsidRPr="009E304A" w:rsidRDefault="00DE499F" w:rsidP="007C1BA1">
      <w:pPr>
        <w:pStyle w:val="ListParagraph"/>
        <w:numPr>
          <w:ilvl w:val="0"/>
          <w:numId w:val="27"/>
        </w:numPr>
      </w:pPr>
      <w:r w:rsidRPr="009E304A">
        <w:lastRenderedPageBreak/>
        <w:t>S</w:t>
      </w:r>
      <w:r w:rsidR="003F60FC" w:rsidRPr="009E304A">
        <w:t xml:space="preserve">tudents attach a stamped, self-addressed envelope with </w:t>
      </w:r>
      <w:r w:rsidR="007C1BA1">
        <w:t>assignments for return by mail;</w:t>
      </w:r>
    </w:p>
    <w:p w14:paraId="4C18A2C7" w14:textId="77777777" w:rsidR="003F60FC" w:rsidRPr="007C1BA1" w:rsidRDefault="00DE499F" w:rsidP="003F60FC">
      <w:pPr>
        <w:pStyle w:val="ListParagraph"/>
        <w:numPr>
          <w:ilvl w:val="0"/>
          <w:numId w:val="27"/>
        </w:numPr>
      </w:pPr>
      <w:r w:rsidRPr="009E304A">
        <w:t>S</w:t>
      </w:r>
      <w:r w:rsidR="003F60FC" w:rsidRPr="009E304A">
        <w:t>ubmit/grad</w:t>
      </w:r>
      <w:r w:rsidR="007C1BA1">
        <w:t>e/return papers electronically.</w:t>
      </w:r>
    </w:p>
    <w:p w14:paraId="68298049" w14:textId="77777777" w:rsidR="003F60FC" w:rsidRDefault="003F60FC" w:rsidP="007C1BA1">
      <w:r w:rsidRPr="009E304A">
        <w:t>Arrangements for the return of assignments from the options above will be fi</w:t>
      </w:r>
      <w:r w:rsidR="007C1BA1">
        <w:t>nalized during the first class.</w:t>
      </w:r>
    </w:p>
    <w:p w14:paraId="1B2B621D" w14:textId="77777777" w:rsidR="00EB2EFF" w:rsidRPr="00676D2C" w:rsidRDefault="00EB2EFF" w:rsidP="00EB2EFF">
      <w:pPr>
        <w:pStyle w:val="Heading2"/>
        <w:rPr>
          <w:rFonts w:eastAsia="Calibri"/>
        </w:rPr>
      </w:pPr>
      <w:bookmarkStart w:id="13" w:name="_Toc530744043"/>
      <w:bookmarkStart w:id="14" w:name="_Toc6832896"/>
      <w:r w:rsidRPr="00676D2C">
        <w:rPr>
          <w:rFonts w:eastAsia="Calibri"/>
        </w:rPr>
        <w:t>Extreme Circumstances</w:t>
      </w:r>
      <w:bookmarkEnd w:id="13"/>
      <w:bookmarkEnd w:id="14"/>
    </w:p>
    <w:p w14:paraId="6A5FB418" w14:textId="77777777" w:rsidR="00EB2EFF" w:rsidRPr="00EB2EFF" w:rsidRDefault="00EB2EFF" w:rsidP="007C1BA1">
      <w:pPr>
        <w:rPr>
          <w:rFonts w:eastAsia="Calibri"/>
        </w:rPr>
      </w:pPr>
      <w:r w:rsidRPr="002C5B58">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48CFA72" w14:textId="77777777" w:rsidR="00EB2EFF" w:rsidRPr="007C1BA1" w:rsidRDefault="00EB2EFF" w:rsidP="00EB2EFF">
      <w:pPr>
        <w:pStyle w:val="Heading1"/>
      </w:pPr>
      <w:bookmarkStart w:id="15" w:name="_Toc6832897"/>
      <w:r w:rsidRPr="007C1BA1">
        <w:t>Student Responsibilities</w:t>
      </w:r>
      <w:r>
        <w:t xml:space="preserve"> and University Policies</w:t>
      </w:r>
      <w:bookmarkEnd w:id="15"/>
    </w:p>
    <w:p w14:paraId="5F70DFAC" w14:textId="77777777" w:rsidR="00EB2EFF" w:rsidRPr="009E304A" w:rsidRDefault="00EB2EFF" w:rsidP="00EB2EFF">
      <w:pPr>
        <w:pStyle w:val="ListParagraph"/>
        <w:numPr>
          <w:ilvl w:val="0"/>
          <w:numId w:val="24"/>
        </w:numPr>
        <w:contextualSpacing w:val="0"/>
      </w:pPr>
      <w:r w:rsidRPr="009E304A">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w:t>
      </w:r>
      <w:r>
        <w:t xml:space="preserve">expected </w:t>
      </w:r>
      <w:r w:rsidRPr="009E304A">
        <w:t xml:space="preserve">to return from the break on time. </w:t>
      </w:r>
    </w:p>
    <w:p w14:paraId="0841B7DC" w14:textId="77777777" w:rsidR="00EB2EFF" w:rsidRDefault="00EB2EFF" w:rsidP="00EB2EFF">
      <w:pPr>
        <w:pStyle w:val="ListParagraph"/>
        <w:numPr>
          <w:ilvl w:val="0"/>
          <w:numId w:val="24"/>
        </w:numPr>
        <w:contextualSpacing w:val="0"/>
      </w:pPr>
      <w:r w:rsidRPr="009E304A">
        <w:t>Audio or video recording in the classroom without permission of the ins</w:t>
      </w:r>
      <w:r>
        <w:t>tructor is strictly prohibited.</w:t>
      </w:r>
    </w:p>
    <w:p w14:paraId="5C371563" w14:textId="77777777" w:rsidR="008119D7" w:rsidRDefault="008119D7" w:rsidP="008119D7">
      <w:pPr>
        <w:pStyle w:val="Heading2"/>
        <w:rPr>
          <w:rFonts w:eastAsia="SimSun"/>
          <w:lang w:eastAsia="zh-CN"/>
        </w:rPr>
      </w:pPr>
      <w:bookmarkStart w:id="16" w:name="_Toc6832898"/>
      <w:r w:rsidRPr="004F1A11">
        <w:rPr>
          <w:rFonts w:eastAsia="SimSun"/>
          <w:lang w:eastAsia="zh-CN"/>
        </w:rPr>
        <w:t>Expectations</w:t>
      </w:r>
      <w:bookmarkEnd w:id="16"/>
    </w:p>
    <w:p w14:paraId="483C6615" w14:textId="77777777" w:rsidR="008119D7" w:rsidRPr="004F1A11" w:rsidRDefault="008119D7" w:rsidP="008119D7">
      <w:pPr>
        <w:rPr>
          <w:rFonts w:eastAsia="SimSun"/>
          <w:lang w:eastAsia="zh-CN"/>
        </w:rPr>
      </w:pPr>
      <w:r w:rsidRPr="004F1A11">
        <w:rPr>
          <w:rFonts w:eastAsia="SimSun"/>
          <w:lang w:eastAsia="zh-CN"/>
        </w:rPr>
        <w:t>Please ensure your cell phone is turned off before class begins.  Please do not answer your cell phone or engage in texting during class. The classes in this course will be conducted in an open and respectful environment.  It is expected that participation will be expressed in a constructive, respectful manne</w:t>
      </w:r>
      <w:r>
        <w:rPr>
          <w:rFonts w:eastAsia="SimSun"/>
          <w:lang w:eastAsia="zh-CN"/>
        </w:rPr>
        <w:t>r that contributes to learning.</w:t>
      </w:r>
    </w:p>
    <w:p w14:paraId="50251BC7" w14:textId="77777777" w:rsidR="008119D7" w:rsidRPr="004F1A11" w:rsidRDefault="008119D7" w:rsidP="008119D7">
      <w:pPr>
        <w:rPr>
          <w:rFonts w:ascii="Calibri" w:eastAsia="SimSun" w:hAnsi="Calibri"/>
          <w:b/>
          <w:sz w:val="22"/>
          <w:szCs w:val="22"/>
          <w:lang w:eastAsia="zh-CN"/>
        </w:rPr>
      </w:pPr>
      <w:r w:rsidRPr="004F1A11">
        <w:rPr>
          <w:rFonts w:eastAsia="SimSun"/>
          <w:lang w:eastAsia="zh-CN"/>
        </w:rPr>
        <w:t xml:space="preserve">Late Assignments will be penalized by a deduction of 2% per day.  Extensions (for exceptional circumstances) must be arranged </w:t>
      </w:r>
      <w:r w:rsidRPr="004F1A11">
        <w:rPr>
          <w:rFonts w:eastAsia="SimSun"/>
          <w:bCs/>
          <w:lang w:eastAsia="zh-CN"/>
        </w:rPr>
        <w:t>before</w:t>
      </w:r>
      <w:r>
        <w:rPr>
          <w:rFonts w:eastAsia="SimSun"/>
          <w:lang w:eastAsia="zh-CN"/>
        </w:rPr>
        <w:t xml:space="preserve"> the due date of an assignment.</w:t>
      </w:r>
    </w:p>
    <w:p w14:paraId="3AA78D91" w14:textId="77777777" w:rsidR="001F76DF" w:rsidRPr="00FA3015" w:rsidRDefault="001F76DF" w:rsidP="001F76DF">
      <w:pPr>
        <w:pStyle w:val="Heading2"/>
        <w:rPr>
          <w:rFonts w:eastAsia="Calibri"/>
        </w:rPr>
      </w:pPr>
      <w:bookmarkStart w:id="17" w:name="_Toc6832899"/>
      <w:r w:rsidRPr="00FA3015">
        <w:rPr>
          <w:rFonts w:eastAsia="Calibri"/>
        </w:rPr>
        <w:t>Attendance</w:t>
      </w:r>
      <w:bookmarkEnd w:id="17"/>
    </w:p>
    <w:p w14:paraId="48EEB936" w14:textId="77777777" w:rsidR="001F76DF" w:rsidRPr="009E304A" w:rsidRDefault="001F76DF" w:rsidP="001F76DF">
      <w:pPr>
        <w:rPr>
          <w:rFonts w:eastAsia="Calibri"/>
          <w:b/>
          <w:szCs w:val="24"/>
          <w:lang w:val="en-CA" w:eastAsia="en-CA"/>
        </w:rPr>
      </w:pPr>
      <w:r>
        <w:rPr>
          <w:spacing w:val="1"/>
        </w:rPr>
        <w:t>P</w:t>
      </w:r>
      <w:r>
        <w:t>artici</w:t>
      </w:r>
      <w:r>
        <w:rPr>
          <w:spacing w:val="1"/>
        </w:rPr>
        <w:t>p</w:t>
      </w:r>
      <w:r>
        <w:t>ati</w:t>
      </w:r>
      <w:r>
        <w:rPr>
          <w:spacing w:val="1"/>
        </w:rPr>
        <w:t>on</w:t>
      </w:r>
      <w:r>
        <w:t>,</w:t>
      </w:r>
      <w:r>
        <w:rPr>
          <w:spacing w:val="17"/>
        </w:rPr>
        <w:t xml:space="preserve"> </w:t>
      </w:r>
      <w:r>
        <w:t>atte</w:t>
      </w:r>
      <w:r>
        <w:rPr>
          <w:spacing w:val="1"/>
        </w:rPr>
        <w:t>nd</w:t>
      </w:r>
      <w:r>
        <w:t>a</w:t>
      </w:r>
      <w:r>
        <w:rPr>
          <w:spacing w:val="1"/>
        </w:rPr>
        <w:t>n</w:t>
      </w:r>
      <w:r>
        <w:t>ce,</w:t>
      </w:r>
      <w:r>
        <w:rPr>
          <w:spacing w:val="17"/>
        </w:rPr>
        <w:t xml:space="preserve"> </w:t>
      </w:r>
      <w:r>
        <w:t>a</w:t>
      </w:r>
      <w:r>
        <w:rPr>
          <w:spacing w:val="1"/>
        </w:rPr>
        <w:t>n</w:t>
      </w:r>
      <w:r>
        <w:t>d</w:t>
      </w:r>
      <w:r>
        <w:rPr>
          <w:spacing w:val="19"/>
        </w:rPr>
        <w:t xml:space="preserve"> </w:t>
      </w:r>
      <w:r>
        <w:rPr>
          <w:spacing w:val="1"/>
        </w:rPr>
        <w:t>qu</w:t>
      </w:r>
      <w:r>
        <w:t>esti</w:t>
      </w:r>
      <w:r>
        <w:rPr>
          <w:spacing w:val="1"/>
        </w:rPr>
        <w:t>on</w:t>
      </w:r>
      <w:r>
        <w:t>s</w:t>
      </w:r>
      <w:r>
        <w:rPr>
          <w:spacing w:val="19"/>
        </w:rPr>
        <w:t xml:space="preserve"> </w:t>
      </w:r>
      <w:r>
        <w:t>are</w:t>
      </w:r>
      <w:r>
        <w:rPr>
          <w:spacing w:val="19"/>
        </w:rPr>
        <w:t xml:space="preserve"> </w:t>
      </w:r>
      <w:r>
        <w:t>esse</w:t>
      </w:r>
      <w:r>
        <w:rPr>
          <w:spacing w:val="1"/>
        </w:rPr>
        <w:t>n</w:t>
      </w:r>
      <w:r>
        <w:t>tial</w:t>
      </w:r>
      <w:r>
        <w:rPr>
          <w:spacing w:val="17"/>
        </w:rPr>
        <w:t xml:space="preserve"> </w:t>
      </w:r>
      <w:r>
        <w:t>in</w:t>
      </w:r>
      <w:r>
        <w:rPr>
          <w:spacing w:val="19"/>
        </w:rPr>
        <w:t xml:space="preserve"> </w:t>
      </w:r>
      <w:r>
        <w:rPr>
          <w:spacing w:val="1"/>
        </w:rPr>
        <w:t>o</w:t>
      </w:r>
      <w:r>
        <w:t>r</w:t>
      </w:r>
      <w:r>
        <w:rPr>
          <w:spacing w:val="1"/>
        </w:rPr>
        <w:t>d</w:t>
      </w:r>
      <w:r>
        <w:t>er</w:t>
      </w:r>
      <w:r>
        <w:rPr>
          <w:spacing w:val="17"/>
        </w:rPr>
        <w:t xml:space="preserve"> </w:t>
      </w:r>
      <w:r>
        <w:t>to</w:t>
      </w:r>
      <w:r>
        <w:rPr>
          <w:spacing w:val="19"/>
        </w:rPr>
        <w:t xml:space="preserve"> </w:t>
      </w:r>
      <w:r>
        <w:t>f</w:t>
      </w:r>
      <w:r>
        <w:rPr>
          <w:spacing w:val="1"/>
        </w:rPr>
        <w:t>u</w:t>
      </w:r>
      <w:r>
        <w:t>lly</w:t>
      </w:r>
      <w:r>
        <w:rPr>
          <w:spacing w:val="19"/>
        </w:rPr>
        <w:t xml:space="preserve"> </w:t>
      </w:r>
      <w:r>
        <w:t>e</w:t>
      </w:r>
      <w:r>
        <w:rPr>
          <w:spacing w:val="1"/>
        </w:rPr>
        <w:t>ng</w:t>
      </w:r>
      <w:r>
        <w:t>a</w:t>
      </w:r>
      <w:r>
        <w:rPr>
          <w:spacing w:val="1"/>
        </w:rPr>
        <w:t>g</w:t>
      </w:r>
      <w:r>
        <w:t>e</w:t>
      </w:r>
      <w:r>
        <w:rPr>
          <w:spacing w:val="19"/>
        </w:rPr>
        <w:t xml:space="preserve"> </w:t>
      </w:r>
      <w:r>
        <w:t>in</w:t>
      </w:r>
      <w:r>
        <w:rPr>
          <w:spacing w:val="18"/>
        </w:rPr>
        <w:t xml:space="preserve"> </w:t>
      </w:r>
      <w:r>
        <w:t>t</w:t>
      </w:r>
      <w:r>
        <w:rPr>
          <w:spacing w:val="1"/>
        </w:rPr>
        <w:t>h</w:t>
      </w:r>
      <w:r>
        <w:t>e</w:t>
      </w:r>
      <w:r>
        <w:rPr>
          <w:spacing w:val="19"/>
        </w:rPr>
        <w:t xml:space="preserve"> </w:t>
      </w:r>
      <w:r>
        <w:t>a</w:t>
      </w:r>
      <w:r>
        <w:rPr>
          <w:spacing w:val="1"/>
        </w:rPr>
        <w:t>n</w:t>
      </w:r>
      <w:r>
        <w:t>al</w:t>
      </w:r>
      <w:r>
        <w:rPr>
          <w:spacing w:val="1"/>
        </w:rPr>
        <w:t>y</w:t>
      </w:r>
      <w:r>
        <w:t>sis</w:t>
      </w:r>
      <w:r>
        <w:rPr>
          <w:spacing w:val="19"/>
        </w:rPr>
        <w:t xml:space="preserve"> </w:t>
      </w:r>
      <w:r>
        <w:rPr>
          <w:spacing w:val="1"/>
        </w:rPr>
        <w:t>o</w:t>
      </w:r>
      <w:r>
        <w:t>f</w:t>
      </w:r>
      <w:r>
        <w:rPr>
          <w:spacing w:val="17"/>
        </w:rPr>
        <w:t xml:space="preserve"> </w:t>
      </w:r>
      <w:r>
        <w:t>t</w:t>
      </w:r>
      <w:r>
        <w:rPr>
          <w:spacing w:val="1"/>
        </w:rPr>
        <w:t>h</w:t>
      </w:r>
      <w:r>
        <w:t>e rea</w:t>
      </w:r>
      <w:r>
        <w:rPr>
          <w:spacing w:val="1"/>
        </w:rPr>
        <w:t>d</w:t>
      </w:r>
      <w:r>
        <w:t>i</w:t>
      </w:r>
      <w:r>
        <w:rPr>
          <w:spacing w:val="1"/>
        </w:rPr>
        <w:t>ng</w:t>
      </w:r>
      <w:r>
        <w:t xml:space="preserve">s. </w:t>
      </w:r>
      <w:r>
        <w:rPr>
          <w:spacing w:val="1"/>
        </w:rPr>
        <w:t xml:space="preserve">Furthermore, the expectation is that students will </w:t>
      </w:r>
      <w:r>
        <w:t>atte</w:t>
      </w:r>
      <w:r>
        <w:rPr>
          <w:spacing w:val="1"/>
        </w:rPr>
        <w:t>n</w:t>
      </w:r>
      <w:r>
        <w:t>d</w:t>
      </w:r>
      <w:r>
        <w:rPr>
          <w:spacing w:val="18"/>
        </w:rPr>
        <w:t xml:space="preserve"> </w:t>
      </w:r>
      <w:r>
        <w:t>all</w:t>
      </w:r>
      <w:r>
        <w:rPr>
          <w:spacing w:val="17"/>
        </w:rPr>
        <w:t xml:space="preserve"> </w:t>
      </w:r>
      <w:r>
        <w:t>lectures.</w:t>
      </w:r>
    </w:p>
    <w:p w14:paraId="094415AD" w14:textId="77777777" w:rsidR="003F60FC" w:rsidRPr="007C1BA1" w:rsidRDefault="003F60FC" w:rsidP="007C1BA1">
      <w:pPr>
        <w:pStyle w:val="Heading2"/>
      </w:pPr>
      <w:bookmarkStart w:id="18" w:name="_Toc6832900"/>
      <w:r w:rsidRPr="007C1BA1">
        <w:t>Academic Integrity</w:t>
      </w:r>
      <w:bookmarkEnd w:id="18"/>
      <w:r w:rsidRPr="007C1BA1">
        <w:t xml:space="preserve"> </w:t>
      </w:r>
    </w:p>
    <w:p w14:paraId="14004526" w14:textId="77777777" w:rsidR="003F60FC" w:rsidRPr="009E304A" w:rsidRDefault="003F60FC" w:rsidP="007C1BA1">
      <w:r w:rsidRPr="009E304A">
        <w:t>You are expected to exhibit honesty and use ethical behaviour in all aspects of the learning process. Academic credentials you earn are rooted in principles of honesty and academic integrity.</w:t>
      </w:r>
      <w:r w:rsidR="006F4CDE">
        <w:t xml:space="preserve"> </w:t>
      </w:r>
      <w:r w:rsidRPr="009E304A">
        <w:t xml:space="preserve">Academic dishonesty is to knowingly act or fail to act in a way that result or could result in unearned academic credit or advantage. This behaviour can result in serious consequences, e.g. the grade of zero on an assignment, loss of credit with a notation on the transcript (notation reads: “Grade of F assigned for academic dishonesty”), and/or 6 suspension or expulsion from the university. It is the student’s responsibility to understand what constitutes academic dishonesty. For information on </w:t>
      </w:r>
      <w:r w:rsidRPr="009E304A">
        <w:lastRenderedPageBreak/>
        <w:t>the various kinds of academic dishonesty please refer to the Academic Integrity Policy, specifically Appendix 3 at http://www.mcmaster.ca/academicintegrity. The following illustrates only thre</w:t>
      </w:r>
      <w:r w:rsidR="007C1BA1">
        <w:t>e forms of academic dishonesty:</w:t>
      </w:r>
    </w:p>
    <w:p w14:paraId="6969783A" w14:textId="77777777" w:rsidR="003F60FC" w:rsidRPr="009E304A" w:rsidRDefault="00DE499F" w:rsidP="007C1BA1">
      <w:pPr>
        <w:pStyle w:val="ListParagraph"/>
        <w:numPr>
          <w:ilvl w:val="0"/>
          <w:numId w:val="28"/>
        </w:numPr>
      </w:pPr>
      <w:r w:rsidRPr="009E304A">
        <w:t>P</w:t>
      </w:r>
      <w:r w:rsidR="003F60FC" w:rsidRPr="009E304A">
        <w:t>lagiarism, e.g. the submission of work that is not one’s own or for which other credit has been obtained</w:t>
      </w:r>
      <w:r w:rsidR="00EB383D">
        <w:t>, (please note the using someone’s words without putting quotes around them, even if you cite them, is plagiarism)</w:t>
      </w:r>
      <w:r w:rsidR="007C1BA1">
        <w:t>;</w:t>
      </w:r>
    </w:p>
    <w:p w14:paraId="0E363678" w14:textId="77777777" w:rsidR="003F60FC" w:rsidRPr="009E304A" w:rsidRDefault="00DE499F" w:rsidP="007C1BA1">
      <w:pPr>
        <w:pStyle w:val="ListParagraph"/>
        <w:numPr>
          <w:ilvl w:val="0"/>
          <w:numId w:val="28"/>
        </w:numPr>
      </w:pPr>
      <w:r w:rsidRPr="009E304A">
        <w:t>I</w:t>
      </w:r>
      <w:r w:rsidR="003F60FC" w:rsidRPr="009E304A">
        <w:t xml:space="preserve">mproper </w:t>
      </w:r>
      <w:r w:rsidR="007C1BA1">
        <w:t>collaboration in group work; or</w:t>
      </w:r>
    </w:p>
    <w:p w14:paraId="50D45490" w14:textId="77777777" w:rsidR="003F60FC" w:rsidRPr="009E304A" w:rsidRDefault="00DE499F" w:rsidP="007C1BA1">
      <w:pPr>
        <w:pStyle w:val="ListParagraph"/>
        <w:numPr>
          <w:ilvl w:val="0"/>
          <w:numId w:val="28"/>
        </w:numPr>
      </w:pPr>
      <w:r w:rsidRPr="009E304A">
        <w:t>C</w:t>
      </w:r>
      <w:r w:rsidR="003F60FC" w:rsidRPr="009E304A">
        <w:t xml:space="preserve">opying or using unauthorized </w:t>
      </w:r>
      <w:r w:rsidR="007C1BA1">
        <w:t>aids in tests and examinations.</w:t>
      </w:r>
    </w:p>
    <w:p w14:paraId="7CBCF046" w14:textId="77777777" w:rsidR="00080608" w:rsidRDefault="003F60FC" w:rsidP="007C1BA1">
      <w:pPr>
        <w:rPr>
          <w:rFonts w:eastAsia="Calibri"/>
        </w:rPr>
      </w:pPr>
      <w:r w:rsidRPr="009E304A">
        <w:t>Academic dishonesty also entails a student having someone sign in for them on a weekly course attendance sheet when they are absent from class and/or a student signing someon</w:t>
      </w:r>
      <w:r w:rsidR="007C1BA1">
        <w:t>e in who is known to be absent.</w:t>
      </w:r>
    </w:p>
    <w:p w14:paraId="775AB712" w14:textId="77777777" w:rsidR="009B6AAE" w:rsidRPr="007C1BA1" w:rsidRDefault="009B6AAE" w:rsidP="007C1BA1">
      <w:pPr>
        <w:pStyle w:val="Heading2"/>
      </w:pPr>
      <w:bookmarkStart w:id="19" w:name="_Toc6832901"/>
      <w:r w:rsidRPr="007C1BA1">
        <w:t>Academic Accommodation of Students with Disabilities</w:t>
      </w:r>
      <w:bookmarkEnd w:id="19"/>
    </w:p>
    <w:p w14:paraId="6E2E214D" w14:textId="77777777" w:rsidR="007F0D43" w:rsidRDefault="00203321" w:rsidP="007C1BA1">
      <w:pPr>
        <w:rPr>
          <w:color w:val="0000FF"/>
          <w:u w:val="single"/>
        </w:rPr>
      </w:pPr>
      <w:r w:rsidRPr="00E379DE">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0" w:history="1">
        <w:r w:rsidRPr="00E379DE">
          <w:rPr>
            <w:color w:val="0000FF"/>
            <w:u w:val="single"/>
          </w:rPr>
          <w:t>sas@mcmaster.ca</w:t>
        </w:r>
      </w:hyperlink>
      <w:r w:rsidRPr="00E379DE">
        <w:t xml:space="preserve">  For further information, consult McMaster University’s </w:t>
      </w:r>
      <w:hyperlink r:id="rId11" w:history="1">
        <w:r w:rsidRPr="00E379DE">
          <w:rPr>
            <w:color w:val="0000FF"/>
            <w:u w:val="single"/>
          </w:rPr>
          <w:t>Academic Accommodation of Students with Disabilities</w:t>
        </w:r>
      </w:hyperlink>
      <w:r w:rsidRPr="00E379DE">
        <w:t xml:space="preserve"> policy</w:t>
      </w:r>
      <w:r w:rsidRPr="00E379DE">
        <w:rPr>
          <w:rFonts w:ascii="Calibri" w:hAnsi="Calibri"/>
        </w:rPr>
        <w:t>.</w:t>
      </w:r>
    </w:p>
    <w:p w14:paraId="7AC0793C" w14:textId="77777777" w:rsidR="006A5A21" w:rsidRPr="006A5A21" w:rsidRDefault="006A5A21" w:rsidP="007C1BA1">
      <w:pPr>
        <w:pStyle w:val="Heading2"/>
        <w:rPr>
          <w:rFonts w:eastAsia="Calibri"/>
        </w:rPr>
      </w:pPr>
      <w:bookmarkStart w:id="20" w:name="_Toc498609812"/>
      <w:bookmarkStart w:id="21" w:name="_Toc6832902"/>
      <w:r w:rsidRPr="007C1BA1">
        <w:rPr>
          <w:rFonts w:eastAsia="Calibri"/>
        </w:rPr>
        <w:t>Religious, Indigenous and Spiritual Observances (RISO</w:t>
      </w:r>
      <w:r w:rsidRPr="006A5A21">
        <w:rPr>
          <w:rFonts w:eastAsia="Calibri"/>
        </w:rPr>
        <w:t>)</w:t>
      </w:r>
      <w:bookmarkEnd w:id="20"/>
      <w:bookmarkEnd w:id="21"/>
    </w:p>
    <w:p w14:paraId="44F7F326" w14:textId="77777777" w:rsidR="00203321" w:rsidRPr="00E379DE" w:rsidRDefault="00203321" w:rsidP="00203321">
      <w:pPr>
        <w:rPr>
          <w:rFonts w:eastAsia="Calibri"/>
        </w:rPr>
      </w:pPr>
      <w:r w:rsidRPr="00E379DE">
        <w:rPr>
          <w:rFonts w:eastAsia="Calibri"/>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7737D87C" w14:textId="77777777" w:rsidR="006A5A21" w:rsidRPr="006A5A21" w:rsidRDefault="00203321" w:rsidP="00203321">
      <w:pPr>
        <w:rPr>
          <w:rFonts w:eastAsia="Calibri"/>
          <w:b/>
        </w:rPr>
      </w:pPr>
      <w:r w:rsidRPr="00E379DE">
        <w:rPr>
          <w:rFonts w:eastAsia="Calibri"/>
        </w:rPr>
        <w:t>Please review the RISO information for students in the Faculty of Social Sciences about how to request accommodation.</w:t>
      </w:r>
      <w:r>
        <w:rPr>
          <w:rFonts w:eastAsia="Calibri"/>
        </w:rPr>
        <w:t xml:space="preserve"> </w:t>
      </w:r>
      <w:r w:rsidRPr="00676D2C">
        <w:rPr>
          <w:rFonts w:eastAsia="Calibri"/>
        </w:rPr>
        <w:t xml:space="preserve">Please review the </w:t>
      </w:r>
      <w:hyperlink r:id="rId12" w:history="1">
        <w:r w:rsidRPr="00676D2C">
          <w:rPr>
            <w:rStyle w:val="Hyperlink"/>
            <w:rFonts w:eastAsia="Calibri"/>
          </w:rPr>
          <w:t>RISO information for students in the Faculty of Social Sciences</w:t>
        </w:r>
      </w:hyperlink>
      <w:r w:rsidRPr="00676D2C">
        <w:rPr>
          <w:rFonts w:eastAsia="Calibri"/>
        </w:rPr>
        <w:t xml:space="preserve"> about how to request accommodation.</w:t>
      </w:r>
    </w:p>
    <w:p w14:paraId="34790B87" w14:textId="77777777" w:rsidR="003F60FC" w:rsidRPr="00EB2EFF" w:rsidRDefault="003F60FC" w:rsidP="00EB2EFF">
      <w:pPr>
        <w:pStyle w:val="Heading2"/>
        <w:rPr>
          <w:rFonts w:eastAsia="Calibri"/>
        </w:rPr>
      </w:pPr>
      <w:bookmarkStart w:id="22" w:name="_Toc6832903"/>
      <w:r w:rsidRPr="00EB2EFF">
        <w:rPr>
          <w:rFonts w:eastAsia="Calibri"/>
        </w:rPr>
        <w:t>E-mail Communication Policy</w:t>
      </w:r>
      <w:bookmarkEnd w:id="22"/>
      <w:r w:rsidRPr="00EB2EFF">
        <w:rPr>
          <w:rFonts w:eastAsia="Calibri"/>
        </w:rPr>
        <w:t xml:space="preserve"> </w:t>
      </w:r>
    </w:p>
    <w:p w14:paraId="22BC04E6" w14:textId="77777777" w:rsidR="00DE499F" w:rsidRDefault="003F60FC" w:rsidP="00EB2EFF">
      <w:pPr>
        <w:rPr>
          <w:rFonts w:eastAsia="Calibri"/>
        </w:rPr>
      </w:pPr>
      <w:r w:rsidRPr="009E304A">
        <w:rPr>
          <w:rFonts w:eastAsia="Calibri"/>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214B0A4" w14:textId="77777777" w:rsidR="00EB2EFF" w:rsidRPr="007C1BA1" w:rsidRDefault="00EB2EFF" w:rsidP="00EB2EFF">
      <w:pPr>
        <w:pStyle w:val="Heading2"/>
        <w:rPr>
          <w:rFonts w:eastAsia="Calibri"/>
        </w:rPr>
      </w:pPr>
      <w:bookmarkStart w:id="23" w:name="_Toc6832904"/>
      <w:r w:rsidRPr="007C1BA1">
        <w:rPr>
          <w:rFonts w:eastAsia="Calibri"/>
        </w:rPr>
        <w:t>Course Modification Policy</w:t>
      </w:r>
      <w:bookmarkEnd w:id="23"/>
    </w:p>
    <w:p w14:paraId="0EC94931" w14:textId="77777777" w:rsidR="00EB2EFF" w:rsidRPr="00EB2EFF" w:rsidRDefault="00EB2EFF" w:rsidP="00EB2EFF">
      <w:pPr>
        <w:rPr>
          <w:rFonts w:eastAsia="Calibri"/>
          <w:b/>
        </w:rPr>
      </w:pPr>
      <w:r>
        <w:rPr>
          <w:rFonts w:eastAsia="Calibri"/>
        </w:rPr>
        <w:t xml:space="preserve">The instructor and university reserve the right to modify elements of the course during the term. The university may changes the dates and deadlines for any or all courses in extreme circumstances. If either type of medication becomes necessary, reasonable </w:t>
      </w:r>
      <w:r>
        <w:rPr>
          <w:rFonts w:eastAsia="Calibri"/>
        </w:rPr>
        <w:lastRenderedPageBreak/>
        <w:t>notice and communication with the students will be given with explanation and the opportunity to comment on changes. It is the responsibility of the student to check his/her McMaster email and course websites weekly during the term and to note any changes.</w:t>
      </w:r>
    </w:p>
    <w:p w14:paraId="5B098676" w14:textId="77777777" w:rsidR="00DE6FAF" w:rsidRDefault="00DE6FAF" w:rsidP="009D5D38">
      <w:pPr>
        <w:pStyle w:val="Heading1"/>
      </w:pPr>
      <w:bookmarkStart w:id="24" w:name="_Toc6832905"/>
      <w:r w:rsidRPr="009E304A">
        <w:t>Course Weekly Topics and Readings</w:t>
      </w:r>
      <w:bookmarkEnd w:id="24"/>
    </w:p>
    <w:p w14:paraId="17783669" w14:textId="77777777" w:rsidR="004311CE" w:rsidRDefault="00203321" w:rsidP="00203321">
      <w:pPr>
        <w:pStyle w:val="Heading2"/>
      </w:pPr>
      <w:bookmarkStart w:id="25" w:name="_Toc6832906"/>
      <w:r>
        <w:t xml:space="preserve">Date: </w:t>
      </w:r>
      <w:r w:rsidR="004311CE">
        <w:t xml:space="preserve">Monday, </w:t>
      </w:r>
      <w:r w:rsidR="002669ED">
        <w:t>May 6</w:t>
      </w:r>
      <w:r w:rsidR="00E951DD">
        <w:t>, 201</w:t>
      </w:r>
      <w:r w:rsidR="002669ED">
        <w:t>9</w:t>
      </w:r>
      <w:bookmarkEnd w:id="25"/>
    </w:p>
    <w:p w14:paraId="79CC0FF1" w14:textId="77777777" w:rsidR="001073D5" w:rsidRPr="002A2CBC" w:rsidRDefault="001073D5" w:rsidP="00203321">
      <w:pPr>
        <w:pStyle w:val="Heading3"/>
        <w:rPr>
          <w:b/>
        </w:rPr>
      </w:pPr>
      <w:bookmarkStart w:id="26" w:name="_Toc511117796"/>
      <w:r>
        <w:t>Topic</w:t>
      </w:r>
      <w:r w:rsidRPr="002A2CBC">
        <w:t>:</w:t>
      </w:r>
      <w:bookmarkEnd w:id="26"/>
    </w:p>
    <w:p w14:paraId="248C7A6D" w14:textId="77777777" w:rsidR="001073D5" w:rsidRPr="002A2CBC" w:rsidRDefault="001073D5" w:rsidP="00203321">
      <w:pPr>
        <w:pStyle w:val="ListParagraph"/>
        <w:numPr>
          <w:ilvl w:val="0"/>
          <w:numId w:val="31"/>
        </w:numPr>
        <w:ind w:left="1080"/>
        <w:rPr>
          <w:b/>
        </w:rPr>
      </w:pPr>
      <w:r w:rsidRPr="002A2CBC">
        <w:t>Introduction</w:t>
      </w:r>
    </w:p>
    <w:p w14:paraId="3C417466" w14:textId="77777777" w:rsidR="006C300D" w:rsidRPr="006C300D" w:rsidRDefault="001073D5" w:rsidP="00203321">
      <w:pPr>
        <w:pStyle w:val="Heading3"/>
      </w:pPr>
      <w:bookmarkStart w:id="27" w:name="_Toc511117797"/>
      <w:r w:rsidRPr="00C714B6">
        <w:t>Readings:</w:t>
      </w:r>
      <w:bookmarkEnd w:id="27"/>
    </w:p>
    <w:p w14:paraId="361B4DDD" w14:textId="77777777" w:rsidR="004311CE" w:rsidRPr="006C300D" w:rsidRDefault="006C300D" w:rsidP="00203321">
      <w:pPr>
        <w:pStyle w:val="ListParagraph"/>
        <w:numPr>
          <w:ilvl w:val="0"/>
          <w:numId w:val="31"/>
        </w:numPr>
        <w:ind w:left="1080"/>
        <w:rPr>
          <w:lang w:val="en-GB"/>
        </w:rPr>
      </w:pPr>
      <w:r w:rsidRPr="006C300D">
        <w:t>Carden, F. (2017). Building evaluation capacity to address problems of equity. In S. Sridharan,</w:t>
      </w:r>
      <w:r>
        <w:t xml:space="preserve"> </w:t>
      </w:r>
      <w:r w:rsidRPr="006C300D">
        <w:t>K. Zhao, &amp; A. Nakaima (Eds.), Building Capacities to Evaluate Health Inequities: Some</w:t>
      </w:r>
      <w:r>
        <w:t xml:space="preserve"> </w:t>
      </w:r>
      <w:r w:rsidRPr="006C300D">
        <w:t>Lessons Learned from Evaluation Experiments in China, India and Chile. New Directions for</w:t>
      </w:r>
      <w:r>
        <w:t xml:space="preserve"> </w:t>
      </w:r>
      <w:r w:rsidRPr="006C300D">
        <w:t>Evaluation, 154, 115–125.</w:t>
      </w:r>
    </w:p>
    <w:p w14:paraId="5086E4D6" w14:textId="77777777" w:rsidR="00E951DD" w:rsidRDefault="00E951DD" w:rsidP="00203321">
      <w:pPr>
        <w:pStyle w:val="Heading2"/>
      </w:pPr>
      <w:bookmarkStart w:id="28" w:name="_Toc458760945"/>
      <w:bookmarkStart w:id="29" w:name="_Toc477782623"/>
      <w:bookmarkStart w:id="30" w:name="_Toc511117798"/>
      <w:bookmarkStart w:id="31" w:name="_Toc6832907"/>
      <w:r>
        <w:t xml:space="preserve">Date: Thursday, </w:t>
      </w:r>
      <w:r w:rsidR="002669ED">
        <w:t>May 9</w:t>
      </w:r>
      <w:bookmarkEnd w:id="28"/>
      <w:r>
        <w:t>, 201</w:t>
      </w:r>
      <w:bookmarkEnd w:id="29"/>
      <w:r w:rsidR="002669ED">
        <w:t>9</w:t>
      </w:r>
      <w:bookmarkEnd w:id="30"/>
      <w:bookmarkEnd w:id="31"/>
    </w:p>
    <w:p w14:paraId="6205BF81" w14:textId="77777777" w:rsidR="00E951DD" w:rsidRPr="00C714B6" w:rsidRDefault="00E951DD" w:rsidP="00203321">
      <w:pPr>
        <w:pStyle w:val="Heading3"/>
        <w:rPr>
          <w:b/>
        </w:rPr>
      </w:pPr>
      <w:bookmarkStart w:id="32" w:name="_Toc511117799"/>
      <w:r w:rsidRPr="00C714B6">
        <w:t>Topic:</w:t>
      </w:r>
      <w:bookmarkEnd w:id="32"/>
    </w:p>
    <w:p w14:paraId="1190A8EF" w14:textId="77777777" w:rsidR="00E951DD" w:rsidRPr="00EB0BD6" w:rsidRDefault="00E951DD" w:rsidP="00505702">
      <w:pPr>
        <w:pStyle w:val="ListParagraph"/>
        <w:numPr>
          <w:ilvl w:val="0"/>
          <w:numId w:val="31"/>
        </w:numPr>
        <w:ind w:left="1080"/>
        <w:rPr>
          <w:b/>
        </w:rPr>
      </w:pPr>
      <w:r>
        <w:t>Critical &amp; Indigenous Perspectives on Evaluation</w:t>
      </w:r>
    </w:p>
    <w:p w14:paraId="75AD8FF8" w14:textId="77777777" w:rsidR="001073D5" w:rsidRDefault="00E951DD" w:rsidP="00203321">
      <w:pPr>
        <w:pStyle w:val="Heading3"/>
        <w:rPr>
          <w:lang w:val="en-GB"/>
        </w:rPr>
      </w:pPr>
      <w:bookmarkStart w:id="33" w:name="_Toc511117800"/>
      <w:r w:rsidRPr="00C714B6">
        <w:t>Readings:</w:t>
      </w:r>
      <w:bookmarkEnd w:id="33"/>
    </w:p>
    <w:p w14:paraId="1E79114F" w14:textId="77777777" w:rsidR="00E951DD" w:rsidRPr="00E951DD" w:rsidRDefault="00E951DD" w:rsidP="00505702">
      <w:pPr>
        <w:pStyle w:val="ListParagraph"/>
        <w:numPr>
          <w:ilvl w:val="0"/>
          <w:numId w:val="31"/>
        </w:numPr>
        <w:ind w:left="1080"/>
        <w:rPr>
          <w:b/>
        </w:rPr>
      </w:pPr>
      <w:r w:rsidRPr="00E951DD">
        <w:t xml:space="preserve">Freeman, M. &amp; Vasconcelos E. (2010). Critical Social Theory: Core Concepts, Inherent Tensions. </w:t>
      </w:r>
      <w:r w:rsidRPr="00E951DD">
        <w:rPr>
          <w:i/>
        </w:rPr>
        <w:t xml:space="preserve">New Directions in Evaluation </w:t>
      </w:r>
      <w:r w:rsidRPr="00E951DD">
        <w:t>127, 7-19.</w:t>
      </w:r>
    </w:p>
    <w:p w14:paraId="2599D30D" w14:textId="77777777" w:rsidR="00E951DD" w:rsidRPr="00E951DD" w:rsidRDefault="00E951DD" w:rsidP="00505702">
      <w:pPr>
        <w:pStyle w:val="ListParagraph"/>
        <w:numPr>
          <w:ilvl w:val="0"/>
          <w:numId w:val="31"/>
        </w:numPr>
        <w:ind w:left="1080"/>
        <w:rPr>
          <w:b/>
        </w:rPr>
      </w:pPr>
      <w:r w:rsidRPr="00E951DD">
        <w:t xml:space="preserve">Taylor, David. (2006). Critical policy evaluation and the question of values: a psychosocial approach. </w:t>
      </w:r>
      <w:r w:rsidRPr="00E951DD">
        <w:rPr>
          <w:i/>
        </w:rPr>
        <w:t>Critical Social Policy 26</w:t>
      </w:r>
      <w:r w:rsidRPr="00E951DD">
        <w:t xml:space="preserve">(1), 243-267. </w:t>
      </w:r>
    </w:p>
    <w:p w14:paraId="19425AEA" w14:textId="77777777" w:rsidR="00E951DD" w:rsidRPr="00E951DD" w:rsidRDefault="00E951DD" w:rsidP="00505702">
      <w:pPr>
        <w:pStyle w:val="ListParagraph"/>
        <w:numPr>
          <w:ilvl w:val="0"/>
          <w:numId w:val="31"/>
        </w:numPr>
        <w:ind w:left="1080"/>
        <w:rPr>
          <w:b/>
        </w:rPr>
      </w:pPr>
      <w:r w:rsidRPr="00E951DD">
        <w:t xml:space="preserve">LaFrance, J. &amp; Nicholls, R. (2010). Reclaiming Evaluation: Defining an Indigenous Evaluation Framework. </w:t>
      </w:r>
      <w:r w:rsidRPr="00E951DD">
        <w:rPr>
          <w:i/>
        </w:rPr>
        <w:t>Canadian Journal of Program Evaluation 23</w:t>
      </w:r>
      <w:r w:rsidRPr="00E951DD">
        <w:t>(2), 13-31</w:t>
      </w:r>
    </w:p>
    <w:p w14:paraId="21A67789" w14:textId="77777777" w:rsidR="00E951DD" w:rsidRDefault="00E951DD" w:rsidP="00203321">
      <w:pPr>
        <w:pStyle w:val="Heading2"/>
      </w:pPr>
      <w:bookmarkStart w:id="34" w:name="_Toc511117801"/>
      <w:bookmarkStart w:id="35" w:name="_Toc6832908"/>
      <w:r>
        <w:t xml:space="preserve">Date: </w:t>
      </w:r>
      <w:r w:rsidR="007A1E69" w:rsidRPr="00C92EB9">
        <w:rPr>
          <w:color w:val="FF0000"/>
        </w:rPr>
        <w:t>Tuesday</w:t>
      </w:r>
      <w:r w:rsidRPr="00C92EB9">
        <w:rPr>
          <w:color w:val="FF0000"/>
        </w:rPr>
        <w:t xml:space="preserve">, </w:t>
      </w:r>
      <w:r w:rsidR="002669ED" w:rsidRPr="00C92EB9">
        <w:rPr>
          <w:color w:val="FF0000"/>
        </w:rPr>
        <w:t>May 1</w:t>
      </w:r>
      <w:r w:rsidR="007A1E69" w:rsidRPr="00C92EB9">
        <w:rPr>
          <w:color w:val="FF0000"/>
        </w:rPr>
        <w:t>4</w:t>
      </w:r>
      <w:r w:rsidRPr="00C92EB9">
        <w:rPr>
          <w:color w:val="FF0000"/>
        </w:rPr>
        <w:t>, 201</w:t>
      </w:r>
      <w:r w:rsidR="002669ED" w:rsidRPr="00C92EB9">
        <w:rPr>
          <w:color w:val="FF0000"/>
        </w:rPr>
        <w:t>9</w:t>
      </w:r>
      <w:bookmarkEnd w:id="34"/>
      <w:bookmarkEnd w:id="35"/>
    </w:p>
    <w:p w14:paraId="0A4482E9" w14:textId="77777777" w:rsidR="00E951DD" w:rsidRPr="00C714B6" w:rsidRDefault="00E951DD" w:rsidP="00203321">
      <w:pPr>
        <w:pStyle w:val="Heading3"/>
        <w:rPr>
          <w:b/>
        </w:rPr>
      </w:pPr>
      <w:bookmarkStart w:id="36" w:name="_Toc511117802"/>
      <w:r w:rsidRPr="00C714B6">
        <w:t>Topic:</w:t>
      </w:r>
      <w:bookmarkEnd w:id="36"/>
    </w:p>
    <w:p w14:paraId="015EEAB5" w14:textId="77777777" w:rsidR="00E951DD" w:rsidRPr="00EB0BD6" w:rsidRDefault="00E951DD" w:rsidP="00505702">
      <w:pPr>
        <w:pStyle w:val="ListParagraph"/>
        <w:numPr>
          <w:ilvl w:val="0"/>
          <w:numId w:val="32"/>
        </w:numPr>
        <w:ind w:left="1080"/>
        <w:rPr>
          <w:b/>
        </w:rPr>
      </w:pPr>
      <w:r>
        <w:t>Evaluation and Practice Theory</w:t>
      </w:r>
    </w:p>
    <w:p w14:paraId="315ECEDD" w14:textId="77777777" w:rsidR="00E951DD" w:rsidRPr="00E951DD" w:rsidRDefault="00E951DD" w:rsidP="00203321">
      <w:pPr>
        <w:pStyle w:val="Heading3"/>
      </w:pPr>
      <w:bookmarkStart w:id="37" w:name="_Toc511117803"/>
      <w:r w:rsidRPr="00C714B6">
        <w:t>Readings:</w:t>
      </w:r>
      <w:bookmarkEnd w:id="37"/>
    </w:p>
    <w:p w14:paraId="1D32B51A" w14:textId="77777777" w:rsidR="00E951DD" w:rsidRDefault="00E951DD" w:rsidP="00505702">
      <w:pPr>
        <w:pStyle w:val="ListParagraph"/>
        <w:numPr>
          <w:ilvl w:val="0"/>
          <w:numId w:val="32"/>
        </w:numPr>
        <w:ind w:left="1080"/>
        <w:rPr>
          <w:b/>
        </w:rPr>
      </w:pPr>
      <w:r w:rsidRPr="00E951DD">
        <w:t xml:space="preserve">Donaldson, S., &amp; Lipsey, M. (2006). Roles for Theory in Contemporary Evaluation Practice: Developing Practical Knowledge. In I.Shaw, J. Greene &amp; M. Mark (eds), </w:t>
      </w:r>
      <w:r w:rsidRPr="00E951DD">
        <w:rPr>
          <w:i/>
        </w:rPr>
        <w:t>Sage Handbook of Evaluation</w:t>
      </w:r>
      <w:r w:rsidRPr="00E951DD">
        <w:t xml:space="preserve"> (</w:t>
      </w:r>
      <w:r w:rsidRPr="00015672">
        <w:t>56-</w:t>
      </w:r>
      <w:r w:rsidR="00015672" w:rsidRPr="00015672">
        <w:t>66</w:t>
      </w:r>
      <w:r w:rsidRPr="00E951DD">
        <w:t>), London: Sage Publications.</w:t>
      </w:r>
    </w:p>
    <w:p w14:paraId="3D5A69FE" w14:textId="77777777" w:rsidR="00D058F2" w:rsidRPr="00E951DD" w:rsidRDefault="00D058F2" w:rsidP="00505702">
      <w:pPr>
        <w:pStyle w:val="ListParagraph"/>
        <w:numPr>
          <w:ilvl w:val="0"/>
          <w:numId w:val="32"/>
        </w:numPr>
        <w:ind w:left="1080"/>
        <w:rPr>
          <w:b/>
        </w:rPr>
      </w:pPr>
      <w:r>
        <w:t>Available online at the library.</w:t>
      </w:r>
    </w:p>
    <w:p w14:paraId="50A118AA" w14:textId="77777777" w:rsidR="00E951DD" w:rsidRDefault="00E951DD" w:rsidP="00505702">
      <w:pPr>
        <w:pStyle w:val="ListParagraph"/>
        <w:numPr>
          <w:ilvl w:val="0"/>
          <w:numId w:val="32"/>
        </w:numPr>
        <w:ind w:left="1080"/>
        <w:rPr>
          <w:b/>
        </w:rPr>
      </w:pPr>
      <w:r w:rsidRPr="00E951DD">
        <w:t xml:space="preserve">Chaskin, R. (2009). Toward a Theory of Change in Community Based Practice with Youth. </w:t>
      </w:r>
      <w:r w:rsidRPr="00E951DD">
        <w:rPr>
          <w:i/>
        </w:rPr>
        <w:t>Child and Youth Services Review 31</w:t>
      </w:r>
      <w:r w:rsidRPr="00E951DD">
        <w:t>, 1127-1134.</w:t>
      </w:r>
    </w:p>
    <w:p w14:paraId="4F3C1CC1" w14:textId="77777777" w:rsidR="00E951DD" w:rsidRPr="00E951DD" w:rsidRDefault="00E951DD" w:rsidP="00505702">
      <w:pPr>
        <w:pStyle w:val="ListParagraph"/>
        <w:numPr>
          <w:ilvl w:val="0"/>
          <w:numId w:val="32"/>
        </w:numPr>
        <w:ind w:left="1080"/>
        <w:rPr>
          <w:b/>
        </w:rPr>
      </w:pPr>
      <w:r w:rsidRPr="00E951DD">
        <w:rPr>
          <w:u w:val="single"/>
        </w:rPr>
        <w:t>Evaluation Example</w:t>
      </w:r>
      <w:r w:rsidRPr="00E951DD">
        <w:t xml:space="preserve">: theoryofchange.org Read through the steps found under Theory of Change on the menu at the Center for Theory of Change. Check </w:t>
      </w:r>
      <w:r w:rsidRPr="00E951DD">
        <w:lastRenderedPageBreak/>
        <w:t xml:space="preserve">out the facilitators handbook: </w:t>
      </w:r>
      <w:hyperlink r:id="rId13" w:history="1">
        <w:r w:rsidRPr="00E951DD">
          <w:rPr>
            <w:rStyle w:val="Hyperlink"/>
            <w:rFonts w:cs="Arial"/>
            <w:szCs w:val="24"/>
          </w:rPr>
          <w:t>http://www.theoryofchange.org/wp-content/uploads/toco_library/pdf/ToCFacilitatorSourcebook.pdf</w:t>
        </w:r>
      </w:hyperlink>
    </w:p>
    <w:p w14:paraId="502800A3" w14:textId="77777777" w:rsidR="00BA299C" w:rsidRDefault="00BA299C" w:rsidP="00203321">
      <w:pPr>
        <w:pStyle w:val="Heading2"/>
      </w:pPr>
      <w:bookmarkStart w:id="38" w:name="_Toc511117804"/>
      <w:bookmarkStart w:id="39" w:name="_Toc6832909"/>
      <w:r>
        <w:t xml:space="preserve">Date: Thursday, May </w:t>
      </w:r>
      <w:r w:rsidR="002669ED">
        <w:t>16</w:t>
      </w:r>
      <w:r>
        <w:t>, 201</w:t>
      </w:r>
      <w:r w:rsidR="002669ED">
        <w:t>9</w:t>
      </w:r>
      <w:bookmarkEnd w:id="38"/>
      <w:bookmarkEnd w:id="39"/>
    </w:p>
    <w:p w14:paraId="29AD55F7" w14:textId="77777777" w:rsidR="00BA299C" w:rsidRPr="00C714B6" w:rsidRDefault="00BA299C" w:rsidP="00203321">
      <w:pPr>
        <w:pStyle w:val="Heading3"/>
        <w:rPr>
          <w:b/>
        </w:rPr>
      </w:pPr>
      <w:bookmarkStart w:id="40" w:name="_Toc511117805"/>
      <w:r w:rsidRPr="00C714B6">
        <w:t>Topic:</w:t>
      </w:r>
      <w:bookmarkEnd w:id="40"/>
    </w:p>
    <w:p w14:paraId="79C7BC05" w14:textId="77777777" w:rsidR="00BA299C" w:rsidRPr="00EB0BD6" w:rsidRDefault="00B65A2C" w:rsidP="00505702">
      <w:pPr>
        <w:pStyle w:val="ListParagraph"/>
        <w:numPr>
          <w:ilvl w:val="0"/>
          <w:numId w:val="33"/>
        </w:numPr>
        <w:ind w:left="1080"/>
        <w:rPr>
          <w:b/>
        </w:rPr>
      </w:pPr>
      <w:r>
        <w:t>E</w:t>
      </w:r>
      <w:r w:rsidR="00BA299C">
        <w:t>valuation</w:t>
      </w:r>
      <w:r>
        <w:t xml:space="preserve"> and Measurement I: What counts as evidence?</w:t>
      </w:r>
    </w:p>
    <w:p w14:paraId="7E84FD1B" w14:textId="77777777" w:rsidR="00BA299C" w:rsidRDefault="00BA299C" w:rsidP="00203321">
      <w:pPr>
        <w:pStyle w:val="Heading3"/>
        <w:rPr>
          <w:lang w:val="en-GB"/>
        </w:rPr>
      </w:pPr>
      <w:bookmarkStart w:id="41" w:name="_Toc511117806"/>
      <w:r w:rsidRPr="00C714B6">
        <w:t>Readings:</w:t>
      </w:r>
      <w:bookmarkEnd w:id="41"/>
    </w:p>
    <w:p w14:paraId="4EEEE739" w14:textId="77777777" w:rsidR="00B65A2C" w:rsidRPr="00B65A2C" w:rsidRDefault="00B65A2C" w:rsidP="00505702">
      <w:pPr>
        <w:pStyle w:val="ListParagraph"/>
        <w:numPr>
          <w:ilvl w:val="0"/>
          <w:numId w:val="33"/>
        </w:numPr>
        <w:ind w:left="1080"/>
        <w:rPr>
          <w:b/>
        </w:rPr>
      </w:pPr>
      <w:r w:rsidRPr="00B65A2C">
        <w:t xml:space="preserve">Stake, R. &amp; Schwandt, T. (2006). On Discerning Quality in Evaluation. In I.Shaw, J. Greene &amp; M. Mark (eds), </w:t>
      </w:r>
      <w:r w:rsidRPr="00B65A2C">
        <w:rPr>
          <w:i/>
        </w:rPr>
        <w:t>Sage Handbook of Evaluation</w:t>
      </w:r>
      <w:r w:rsidRPr="00B65A2C">
        <w:t xml:space="preserve"> (404-418), London: Sage Publications.</w:t>
      </w:r>
      <w:r w:rsidR="00D058F2">
        <w:t xml:space="preserve">  Available online at the library.</w:t>
      </w:r>
    </w:p>
    <w:p w14:paraId="3E295DA2" w14:textId="77777777" w:rsidR="001073D5" w:rsidRPr="00987F1A" w:rsidRDefault="00B65A2C" w:rsidP="00505702">
      <w:pPr>
        <w:pStyle w:val="ListParagraph"/>
        <w:numPr>
          <w:ilvl w:val="0"/>
          <w:numId w:val="33"/>
        </w:numPr>
        <w:ind w:left="1080"/>
        <w:rPr>
          <w:lang w:val="en-GB"/>
        </w:rPr>
      </w:pPr>
      <w:r w:rsidRPr="00987F1A">
        <w:rPr>
          <w:u w:val="single"/>
        </w:rPr>
        <w:t>Evaluation Example</w:t>
      </w:r>
      <w:r w:rsidRPr="00987F1A">
        <w:t xml:space="preserve">: Meagher, S. (2008). Measuring Success: Evaluation Strategies for Drop-In Centres. Toronto: Public Interest Strategies and Communication. Pp. 14-25 on Benefits of Drop in Centre. </w:t>
      </w:r>
    </w:p>
    <w:p w14:paraId="53F9E738" w14:textId="77777777" w:rsidR="00987F1A" w:rsidRDefault="00987F1A" w:rsidP="00505702">
      <w:pPr>
        <w:pStyle w:val="ListParagraph"/>
        <w:numPr>
          <w:ilvl w:val="0"/>
          <w:numId w:val="33"/>
        </w:numPr>
        <w:ind w:left="1080"/>
        <w:rPr>
          <w:b/>
        </w:rPr>
      </w:pPr>
      <w:r>
        <w:t>Posted to the course website.</w:t>
      </w:r>
    </w:p>
    <w:p w14:paraId="3528213E" w14:textId="77777777" w:rsidR="00203321" w:rsidRDefault="00203321" w:rsidP="00203321">
      <w:pPr>
        <w:pStyle w:val="Heading2"/>
      </w:pPr>
      <w:bookmarkStart w:id="42" w:name="_Toc6832910"/>
      <w:r>
        <w:t>Date: Monday, May 20, 2019</w:t>
      </w:r>
      <w:bookmarkEnd w:id="42"/>
    </w:p>
    <w:p w14:paraId="5F900F74" w14:textId="77777777" w:rsidR="002669ED" w:rsidRPr="00203321" w:rsidRDefault="002669ED" w:rsidP="00505702">
      <w:pPr>
        <w:pStyle w:val="ListParagraph"/>
        <w:widowControl w:val="0"/>
        <w:numPr>
          <w:ilvl w:val="0"/>
          <w:numId w:val="34"/>
        </w:numPr>
        <w:autoSpaceDE w:val="0"/>
        <w:autoSpaceDN w:val="0"/>
        <w:adjustRightInd w:val="0"/>
        <w:ind w:left="1080"/>
        <w:rPr>
          <w:rFonts w:cs="Arial"/>
          <w:szCs w:val="24"/>
        </w:rPr>
      </w:pPr>
      <w:r w:rsidRPr="00203321">
        <w:rPr>
          <w:rFonts w:cs="Arial"/>
          <w:szCs w:val="24"/>
        </w:rPr>
        <w:t>Victoria Day – No Class</w:t>
      </w:r>
    </w:p>
    <w:p w14:paraId="34ADBD5E" w14:textId="77777777" w:rsidR="00B65A2C" w:rsidRDefault="00B65A2C" w:rsidP="00203321">
      <w:pPr>
        <w:pStyle w:val="Heading2"/>
      </w:pPr>
      <w:bookmarkStart w:id="43" w:name="_Toc511117807"/>
      <w:bookmarkStart w:id="44" w:name="_Toc6832911"/>
      <w:r>
        <w:t xml:space="preserve">Date: </w:t>
      </w:r>
      <w:r w:rsidR="002669ED">
        <w:t>Thursday</w:t>
      </w:r>
      <w:r>
        <w:t xml:space="preserve">, May </w:t>
      </w:r>
      <w:r w:rsidR="002669ED">
        <w:t>23</w:t>
      </w:r>
      <w:r>
        <w:t>, 201</w:t>
      </w:r>
      <w:r w:rsidR="002669ED">
        <w:t>9</w:t>
      </w:r>
      <w:bookmarkEnd w:id="43"/>
      <w:bookmarkEnd w:id="44"/>
    </w:p>
    <w:p w14:paraId="08468C07" w14:textId="77777777" w:rsidR="00B65A2C" w:rsidRPr="00C714B6" w:rsidRDefault="00B65A2C" w:rsidP="00203321">
      <w:pPr>
        <w:pStyle w:val="Heading3"/>
        <w:rPr>
          <w:b/>
        </w:rPr>
      </w:pPr>
      <w:bookmarkStart w:id="45" w:name="_Toc511117808"/>
      <w:r w:rsidRPr="00C714B6">
        <w:t>Topic:</w:t>
      </w:r>
      <w:bookmarkEnd w:id="45"/>
    </w:p>
    <w:p w14:paraId="1576A9F5" w14:textId="77777777" w:rsidR="00B65A2C" w:rsidRPr="00EB0BD6" w:rsidRDefault="00B65A2C" w:rsidP="00203321">
      <w:pPr>
        <w:pStyle w:val="ListParagraph"/>
        <w:numPr>
          <w:ilvl w:val="0"/>
          <w:numId w:val="34"/>
        </w:numPr>
        <w:ind w:left="1080"/>
        <w:rPr>
          <w:b/>
        </w:rPr>
      </w:pPr>
      <w:r>
        <w:t>Evaluation and Measurement II: What counts as evidence?</w:t>
      </w:r>
    </w:p>
    <w:p w14:paraId="0462E570" w14:textId="77777777" w:rsidR="00B65A2C" w:rsidRDefault="00B65A2C" w:rsidP="00203321">
      <w:pPr>
        <w:pStyle w:val="Heading3"/>
        <w:rPr>
          <w:lang w:val="en-GB"/>
        </w:rPr>
      </w:pPr>
      <w:bookmarkStart w:id="46" w:name="_Toc511117809"/>
      <w:r w:rsidRPr="00C714B6">
        <w:t>Readings:</w:t>
      </w:r>
      <w:bookmarkEnd w:id="46"/>
    </w:p>
    <w:p w14:paraId="6108AD76" w14:textId="77777777" w:rsidR="00B65A2C" w:rsidRPr="00530339" w:rsidRDefault="00B65A2C" w:rsidP="00203321">
      <w:pPr>
        <w:pStyle w:val="ListParagraph"/>
        <w:numPr>
          <w:ilvl w:val="0"/>
          <w:numId w:val="34"/>
        </w:numPr>
        <w:ind w:left="1080"/>
        <w:rPr>
          <w:lang w:val="en-GB"/>
        </w:rPr>
      </w:pPr>
      <w:r w:rsidRPr="00B65A2C">
        <w:t xml:space="preserve">Liket, K., Rey-Garcia, M. &amp; Maas, K. (2014). Why Aren’t Evaluations Working and What to Do About It: A Framework for Negotiating Meaningful Evaluation in Non-profits. </w:t>
      </w:r>
      <w:r w:rsidRPr="00B65A2C">
        <w:rPr>
          <w:i/>
        </w:rPr>
        <w:t>American Journal of Evaluation 35</w:t>
      </w:r>
      <w:r w:rsidRPr="00B65A2C">
        <w:t xml:space="preserve">(2), 171-188. </w:t>
      </w:r>
    </w:p>
    <w:p w14:paraId="24F3756A" w14:textId="77777777" w:rsidR="00530339" w:rsidRPr="00B65A2C" w:rsidRDefault="00530339" w:rsidP="00203321">
      <w:pPr>
        <w:pStyle w:val="ListParagraph"/>
        <w:numPr>
          <w:ilvl w:val="0"/>
          <w:numId w:val="34"/>
        </w:numPr>
        <w:ind w:left="1080"/>
        <w:rPr>
          <w:b/>
          <w:u w:val="single"/>
        </w:rPr>
      </w:pPr>
      <w:r w:rsidRPr="00B65A2C">
        <w:t xml:space="preserve">Greene, J. (1999). The Inequality of Performance Measurements. </w:t>
      </w:r>
      <w:r w:rsidRPr="00B65A2C">
        <w:rPr>
          <w:i/>
        </w:rPr>
        <w:t>Evaluation 5</w:t>
      </w:r>
      <w:r w:rsidRPr="00B65A2C">
        <w:t xml:space="preserve">(2), (160-172).  </w:t>
      </w:r>
    </w:p>
    <w:p w14:paraId="2AEC2C6A" w14:textId="77777777" w:rsidR="00987F1A" w:rsidRPr="00987F1A" w:rsidRDefault="00B65A2C" w:rsidP="00203321">
      <w:pPr>
        <w:pStyle w:val="ListParagraph"/>
        <w:numPr>
          <w:ilvl w:val="0"/>
          <w:numId w:val="34"/>
        </w:numPr>
        <w:ind w:left="1080"/>
        <w:rPr>
          <w:lang w:val="en-GB"/>
        </w:rPr>
      </w:pPr>
      <w:r w:rsidRPr="00B65A2C">
        <w:rPr>
          <w:u w:val="single"/>
        </w:rPr>
        <w:t>Evaluation Example</w:t>
      </w:r>
      <w:r w:rsidRPr="00B65A2C">
        <w:t xml:space="preserve">: Chapters 1 &amp; 2 in:  Burns, S. &amp; Cupitt, S. (2003). Managing Outcomes; A Guide for Homelessness Organisations. London: Charities Evaluation Services. </w:t>
      </w:r>
      <w:hyperlink r:id="rId14" w:history="1">
        <w:r w:rsidR="00987F1A" w:rsidRPr="00500473">
          <w:rPr>
            <w:rStyle w:val="Hyperlink"/>
            <w:rFonts w:cs="Arial"/>
            <w:szCs w:val="24"/>
          </w:rPr>
          <w:t>http://homelesshub.ca/resource/managing-outcomes-guide-homelessness-organizations</w:t>
        </w:r>
      </w:hyperlink>
    </w:p>
    <w:p w14:paraId="4170AE3B" w14:textId="77777777" w:rsidR="00297102" w:rsidRDefault="002669ED" w:rsidP="00203321">
      <w:pPr>
        <w:pStyle w:val="Heading2"/>
      </w:pPr>
      <w:bookmarkStart w:id="47" w:name="_Toc511117810"/>
      <w:bookmarkStart w:id="48" w:name="_Toc6832912"/>
      <w:r>
        <w:t>Date: Monday</w:t>
      </w:r>
      <w:r w:rsidR="007970AB">
        <w:t>,</w:t>
      </w:r>
      <w:r>
        <w:t xml:space="preserve"> May </w:t>
      </w:r>
      <w:r w:rsidR="007970AB">
        <w:t>27</w:t>
      </w:r>
      <w:r w:rsidR="00297102">
        <w:t>, 201</w:t>
      </w:r>
      <w:bookmarkEnd w:id="47"/>
      <w:r>
        <w:t>9</w:t>
      </w:r>
      <w:bookmarkEnd w:id="48"/>
    </w:p>
    <w:p w14:paraId="1AD8F177" w14:textId="77777777" w:rsidR="00297102" w:rsidRPr="00C714B6" w:rsidRDefault="00297102" w:rsidP="00203321">
      <w:pPr>
        <w:pStyle w:val="Heading3"/>
        <w:rPr>
          <w:b/>
        </w:rPr>
      </w:pPr>
      <w:bookmarkStart w:id="49" w:name="_Toc511117811"/>
      <w:r w:rsidRPr="00C714B6">
        <w:t>Topic:</w:t>
      </w:r>
      <w:bookmarkEnd w:id="49"/>
    </w:p>
    <w:p w14:paraId="0FB42884" w14:textId="77777777" w:rsidR="00297102" w:rsidRPr="00EB0BD6" w:rsidRDefault="00297102" w:rsidP="00203321">
      <w:pPr>
        <w:pStyle w:val="ListParagraph"/>
        <w:numPr>
          <w:ilvl w:val="0"/>
          <w:numId w:val="34"/>
        </w:numPr>
        <w:ind w:left="1080"/>
        <w:rPr>
          <w:b/>
        </w:rPr>
      </w:pPr>
      <w:r>
        <w:t>Evaluation in Situations of Complexity</w:t>
      </w:r>
    </w:p>
    <w:p w14:paraId="0D8311F8" w14:textId="77777777" w:rsidR="00297102" w:rsidRDefault="00297102" w:rsidP="00203321">
      <w:pPr>
        <w:pStyle w:val="Heading3"/>
        <w:rPr>
          <w:lang w:val="en-GB"/>
        </w:rPr>
      </w:pPr>
      <w:bookmarkStart w:id="50" w:name="_Toc511117812"/>
      <w:r w:rsidRPr="00C714B6">
        <w:t>Readings:</w:t>
      </w:r>
      <w:bookmarkEnd w:id="50"/>
    </w:p>
    <w:p w14:paraId="78550B8A" w14:textId="77777777" w:rsidR="00674A21" w:rsidRPr="001F4DF7" w:rsidRDefault="00674A21" w:rsidP="00203321">
      <w:pPr>
        <w:pStyle w:val="ListParagraph"/>
        <w:numPr>
          <w:ilvl w:val="0"/>
          <w:numId w:val="34"/>
        </w:numPr>
        <w:ind w:left="1080"/>
        <w:rPr>
          <w:b/>
        </w:rPr>
      </w:pPr>
      <w:r w:rsidRPr="001F4DF7">
        <w:t xml:space="preserve">Langlois, M., Blanchet-Cohen, N. &amp; Beer, T. (2013).  The Art of the Nudge: Five Practices for Developmental Evaluators.  </w:t>
      </w:r>
      <w:r w:rsidRPr="0053138C">
        <w:rPr>
          <w:i/>
        </w:rPr>
        <w:t>Canadian Journal of Program Evaluation</w:t>
      </w:r>
      <w:r w:rsidRPr="001F4DF7">
        <w:t xml:space="preserve"> 27(2), 39-59.</w:t>
      </w:r>
    </w:p>
    <w:p w14:paraId="71A8B307" w14:textId="77777777" w:rsidR="00297102" w:rsidRPr="00987F1A" w:rsidRDefault="00297102" w:rsidP="00203321">
      <w:pPr>
        <w:pStyle w:val="ListParagraph"/>
        <w:numPr>
          <w:ilvl w:val="0"/>
          <w:numId w:val="34"/>
        </w:numPr>
        <w:ind w:left="1080"/>
        <w:rPr>
          <w:rFonts w:cs="Arial"/>
          <w:b/>
          <w:szCs w:val="24"/>
        </w:rPr>
      </w:pPr>
      <w:r w:rsidRPr="00297102">
        <w:rPr>
          <w:rFonts w:cs="Arial"/>
          <w:szCs w:val="24"/>
          <w:u w:val="single"/>
        </w:rPr>
        <w:t>Evaluation Example</w:t>
      </w:r>
      <w:r w:rsidRPr="00297102">
        <w:rPr>
          <w:rFonts w:cs="Arial"/>
          <w:szCs w:val="24"/>
        </w:rPr>
        <w:t>:  Gamble, J.A.A. (2008). A Developmental Evaluation Primer.  The J.W. McConnell Family Foundation. Pp. 1-25.</w:t>
      </w:r>
    </w:p>
    <w:p w14:paraId="6FE90428" w14:textId="77777777" w:rsidR="00987F1A" w:rsidRDefault="008F4D27" w:rsidP="00203321">
      <w:pPr>
        <w:pStyle w:val="ListParagraph"/>
        <w:numPr>
          <w:ilvl w:val="0"/>
          <w:numId w:val="34"/>
        </w:numPr>
        <w:ind w:left="1080"/>
        <w:rPr>
          <w:rFonts w:cs="Arial"/>
          <w:b/>
          <w:szCs w:val="24"/>
        </w:rPr>
      </w:pPr>
      <w:hyperlink r:id="rId15" w:history="1">
        <w:r w:rsidR="00BF7A58" w:rsidRPr="00500473">
          <w:rPr>
            <w:rStyle w:val="Hyperlink"/>
            <w:rFonts w:cs="Arial"/>
            <w:szCs w:val="24"/>
          </w:rPr>
          <w:t>https://mcconnellfoundation.ca/report/a-developmental-evaluation-primer/</w:t>
        </w:r>
      </w:hyperlink>
    </w:p>
    <w:p w14:paraId="59517308" w14:textId="77777777" w:rsidR="00B65A2C" w:rsidRDefault="00B65A2C" w:rsidP="00203321">
      <w:pPr>
        <w:pStyle w:val="Heading2"/>
      </w:pPr>
      <w:bookmarkStart w:id="51" w:name="_Toc511117813"/>
      <w:bookmarkStart w:id="52" w:name="_Toc6832913"/>
      <w:r>
        <w:t xml:space="preserve">Date: </w:t>
      </w:r>
      <w:r w:rsidR="007970AB">
        <w:t>Thursday, Ma</w:t>
      </w:r>
      <w:r>
        <w:t xml:space="preserve">y </w:t>
      </w:r>
      <w:r w:rsidR="007970AB">
        <w:t>30</w:t>
      </w:r>
      <w:r>
        <w:t>, 201</w:t>
      </w:r>
      <w:r w:rsidR="002669ED">
        <w:t>9</w:t>
      </w:r>
      <w:bookmarkEnd w:id="51"/>
      <w:bookmarkEnd w:id="52"/>
    </w:p>
    <w:p w14:paraId="24B6E787" w14:textId="77777777" w:rsidR="00B65A2C" w:rsidRPr="00C714B6" w:rsidRDefault="00B65A2C" w:rsidP="00203321">
      <w:pPr>
        <w:pStyle w:val="Heading3"/>
        <w:rPr>
          <w:b/>
        </w:rPr>
      </w:pPr>
      <w:bookmarkStart w:id="53" w:name="_Toc511117814"/>
      <w:r w:rsidRPr="00C714B6">
        <w:t>Topic:</w:t>
      </w:r>
      <w:bookmarkEnd w:id="53"/>
    </w:p>
    <w:p w14:paraId="17DCF5EB" w14:textId="77777777" w:rsidR="00415C5C" w:rsidRPr="00415C5C" w:rsidRDefault="00B65A2C" w:rsidP="00203321">
      <w:pPr>
        <w:pStyle w:val="ListParagraph"/>
        <w:numPr>
          <w:ilvl w:val="0"/>
          <w:numId w:val="34"/>
        </w:numPr>
        <w:ind w:left="1080"/>
        <w:rPr>
          <w:lang w:val="en-GB"/>
        </w:rPr>
      </w:pPr>
      <w:r w:rsidRPr="00415C5C">
        <w:t xml:space="preserve">Evaluation and </w:t>
      </w:r>
      <w:r w:rsidR="00415C5C" w:rsidRPr="00415C5C">
        <w:t xml:space="preserve">Participation </w:t>
      </w:r>
    </w:p>
    <w:p w14:paraId="12D303FA" w14:textId="77777777" w:rsidR="008B75F2" w:rsidRDefault="00415C5C" w:rsidP="00203321">
      <w:pPr>
        <w:pStyle w:val="Heading3"/>
        <w:rPr>
          <w:b/>
        </w:rPr>
      </w:pPr>
      <w:r w:rsidRPr="00415C5C">
        <w:t>R</w:t>
      </w:r>
      <w:r w:rsidR="00B65A2C" w:rsidRPr="00415C5C">
        <w:t>eadings:</w:t>
      </w:r>
    </w:p>
    <w:p w14:paraId="444C4BDC" w14:textId="77777777" w:rsidR="008B75F2" w:rsidRPr="008B75F2" w:rsidRDefault="002D0E63" w:rsidP="00203321">
      <w:pPr>
        <w:pStyle w:val="ListParagraph"/>
        <w:numPr>
          <w:ilvl w:val="0"/>
          <w:numId w:val="34"/>
        </w:numPr>
        <w:ind w:left="1080"/>
        <w:rPr>
          <w:b/>
        </w:rPr>
      </w:pPr>
      <w:r w:rsidRPr="008B75F2">
        <w:t xml:space="preserve">Fetterman, D. (2017). Transformative empowerment evaluation and Freirean pedagogy: Alignment with an emancipatory tradition. In M. Q. Patton (Ed.), </w:t>
      </w:r>
      <w:r w:rsidRPr="008B75F2">
        <w:rPr>
          <w:i/>
          <w:iCs/>
        </w:rPr>
        <w:t>Pedagogy of Evaluation. New Directions for Evaluation</w:t>
      </w:r>
      <w:r w:rsidRPr="008B75F2">
        <w:t xml:space="preserve">, </w:t>
      </w:r>
      <w:r w:rsidRPr="008B75F2">
        <w:rPr>
          <w:i/>
          <w:iCs/>
        </w:rPr>
        <w:t>155</w:t>
      </w:r>
      <w:r w:rsidRPr="008B75F2">
        <w:t>, 111–126.</w:t>
      </w:r>
    </w:p>
    <w:p w14:paraId="3E07200C" w14:textId="77777777" w:rsidR="008B75F2" w:rsidRPr="008B75F2" w:rsidRDefault="008B75F2" w:rsidP="00203321">
      <w:pPr>
        <w:pStyle w:val="ListParagraph"/>
        <w:numPr>
          <w:ilvl w:val="0"/>
          <w:numId w:val="34"/>
        </w:numPr>
        <w:ind w:left="1080"/>
        <w:rPr>
          <w:b/>
          <w:u w:val="single"/>
        </w:rPr>
      </w:pPr>
      <w:r w:rsidRPr="008B75F2">
        <w:t xml:space="preserve">Cousins, B. &amp; Whitmore, E. (1998). Framing Participatory Evaluation. </w:t>
      </w:r>
      <w:r w:rsidRPr="008B75F2">
        <w:rPr>
          <w:i/>
        </w:rPr>
        <w:t>New Directions for Evaluation</w:t>
      </w:r>
      <w:r w:rsidRPr="008B75F2">
        <w:t xml:space="preserve"> 80, 5-23.</w:t>
      </w:r>
    </w:p>
    <w:p w14:paraId="32654021" w14:textId="77777777" w:rsidR="00BF7A58" w:rsidRPr="00BF7A58" w:rsidRDefault="00415C5C" w:rsidP="00203321">
      <w:pPr>
        <w:pStyle w:val="ListParagraph"/>
        <w:numPr>
          <w:ilvl w:val="0"/>
          <w:numId w:val="34"/>
        </w:numPr>
        <w:ind w:left="1080"/>
        <w:rPr>
          <w:lang w:val="en-GB"/>
        </w:rPr>
      </w:pPr>
      <w:r w:rsidRPr="00415C5C">
        <w:rPr>
          <w:u w:val="single"/>
        </w:rPr>
        <w:t>Evaluation Example</w:t>
      </w:r>
      <w:r w:rsidRPr="00415C5C">
        <w:t>: International HIV/AIDS Alliance. (2006). Tools Together Now: 100 participatory tools to mobilize communities for HIV/AIDS. See sections E</w:t>
      </w:r>
      <w:r w:rsidR="00C94E75" w:rsidRPr="00C94E75">
        <w:t>,</w:t>
      </w:r>
      <w:r w:rsidR="00C94E75">
        <w:t xml:space="preserve"> </w:t>
      </w:r>
      <w:r w:rsidR="00C94E75" w:rsidRPr="00C94E75">
        <w:t>F &amp; G</w:t>
      </w:r>
      <w:r w:rsidR="00C94E75">
        <w:t xml:space="preserve">.  </w:t>
      </w:r>
      <w:hyperlink r:id="rId16" w:history="1">
        <w:r w:rsidR="00BF7A58" w:rsidRPr="00500473">
          <w:rPr>
            <w:rStyle w:val="Hyperlink"/>
            <w:rFonts w:cs="Arial"/>
            <w:szCs w:val="24"/>
          </w:rPr>
          <w:t>https://www.aidsalliance.org/assets/000/000/370/229-Tools-together-now_original.pdf?1405520036</w:t>
        </w:r>
      </w:hyperlink>
    </w:p>
    <w:p w14:paraId="715A0EAC" w14:textId="77777777" w:rsidR="00297102" w:rsidRDefault="00297102" w:rsidP="00203321">
      <w:pPr>
        <w:pStyle w:val="Heading2"/>
      </w:pPr>
      <w:bookmarkStart w:id="54" w:name="_Toc511117815"/>
      <w:bookmarkStart w:id="55" w:name="_Toc6832914"/>
      <w:r>
        <w:t xml:space="preserve">Date: </w:t>
      </w:r>
      <w:r w:rsidR="007970AB">
        <w:t>Monday, June 3</w:t>
      </w:r>
      <w:r>
        <w:t>, 201</w:t>
      </w:r>
      <w:r w:rsidR="002669ED">
        <w:t>9</w:t>
      </w:r>
      <w:bookmarkEnd w:id="54"/>
      <w:bookmarkEnd w:id="55"/>
    </w:p>
    <w:p w14:paraId="26F1D0C6" w14:textId="77777777" w:rsidR="00297102" w:rsidRPr="00C714B6" w:rsidRDefault="00297102" w:rsidP="00203321">
      <w:pPr>
        <w:pStyle w:val="Heading3"/>
        <w:rPr>
          <w:b/>
        </w:rPr>
      </w:pPr>
      <w:bookmarkStart w:id="56" w:name="_Toc511117816"/>
      <w:r w:rsidRPr="00C714B6">
        <w:t>Topic:</w:t>
      </w:r>
      <w:bookmarkEnd w:id="56"/>
    </w:p>
    <w:p w14:paraId="25E3122D" w14:textId="77777777" w:rsidR="00297102" w:rsidRPr="00415C5C" w:rsidRDefault="00297102" w:rsidP="00203321">
      <w:pPr>
        <w:pStyle w:val="ListParagraph"/>
        <w:numPr>
          <w:ilvl w:val="0"/>
          <w:numId w:val="34"/>
        </w:numPr>
        <w:ind w:left="1080"/>
        <w:rPr>
          <w:lang w:val="en-GB"/>
        </w:rPr>
      </w:pPr>
      <w:r w:rsidRPr="00415C5C">
        <w:t xml:space="preserve">Evaluation and </w:t>
      </w:r>
      <w:r w:rsidR="006A676B">
        <w:t>Community</w:t>
      </w:r>
      <w:r w:rsidRPr="00415C5C">
        <w:t xml:space="preserve"> </w:t>
      </w:r>
    </w:p>
    <w:p w14:paraId="133CFE73" w14:textId="77777777" w:rsidR="00297102" w:rsidRPr="00415C5C" w:rsidRDefault="00297102" w:rsidP="00203321">
      <w:pPr>
        <w:pStyle w:val="Heading3"/>
        <w:rPr>
          <w:lang w:val="en-GB"/>
        </w:rPr>
      </w:pPr>
      <w:r w:rsidRPr="00415C5C">
        <w:t>Readings:</w:t>
      </w:r>
    </w:p>
    <w:p w14:paraId="25FA3ACD" w14:textId="77777777" w:rsidR="006A676B" w:rsidRDefault="006A676B" w:rsidP="00203321">
      <w:pPr>
        <w:pStyle w:val="ListParagraph"/>
        <w:numPr>
          <w:ilvl w:val="0"/>
          <w:numId w:val="34"/>
        </w:numPr>
        <w:ind w:left="1080"/>
        <w:rPr>
          <w:b/>
        </w:rPr>
      </w:pPr>
      <w:r w:rsidRPr="006A676B">
        <w:t xml:space="preserve">Wallace, B., Pauly, B.,  Perkin, K.,&amp;  Ranftt, M. (2015).  Shifting the Evaluative Gaze: Community Based Program Evaluation in the Homelessness Sector. </w:t>
      </w:r>
      <w:r w:rsidRPr="006A676B">
        <w:rPr>
          <w:i/>
        </w:rPr>
        <w:t>Gateways: International Journal of Community Research and Engagement 8</w:t>
      </w:r>
      <w:r w:rsidRPr="006A676B">
        <w:t>(1), 43-58.</w:t>
      </w:r>
    </w:p>
    <w:p w14:paraId="0BAE86B8" w14:textId="77777777" w:rsidR="006A676B" w:rsidRPr="006A676B" w:rsidRDefault="006A676B" w:rsidP="00203321">
      <w:pPr>
        <w:pStyle w:val="ListParagraph"/>
        <w:numPr>
          <w:ilvl w:val="0"/>
          <w:numId w:val="34"/>
        </w:numPr>
        <w:ind w:left="1080"/>
        <w:rPr>
          <w:b/>
          <w:u w:val="single"/>
        </w:rPr>
      </w:pPr>
      <w:r w:rsidRPr="006A676B">
        <w:t xml:space="preserve">Johnston, A. (2010). Using Technology to Enhance Aboriginal Evaluations. </w:t>
      </w:r>
      <w:r w:rsidRPr="006A676B">
        <w:rPr>
          <w:i/>
        </w:rPr>
        <w:t>Canadian Journal of Program Evaluation 23</w:t>
      </w:r>
      <w:r w:rsidRPr="006A676B">
        <w:t>(2), 51-72.</w:t>
      </w:r>
    </w:p>
    <w:p w14:paraId="4172F5D1" w14:textId="77777777" w:rsidR="00BF7A58" w:rsidRDefault="006A676B" w:rsidP="00203321">
      <w:pPr>
        <w:pStyle w:val="ListParagraph"/>
        <w:numPr>
          <w:ilvl w:val="0"/>
          <w:numId w:val="34"/>
        </w:numPr>
        <w:ind w:left="1080"/>
        <w:rPr>
          <w:b/>
        </w:rPr>
      </w:pPr>
      <w:r w:rsidRPr="006A676B">
        <w:rPr>
          <w:u w:val="single"/>
        </w:rPr>
        <w:t xml:space="preserve">Evaluation Example  </w:t>
      </w:r>
      <w:r w:rsidRPr="006A676B">
        <w:t>Chapters 3 &amp; 4 in:</w:t>
      </w:r>
      <w:r w:rsidRPr="006A676B">
        <w:br/>
        <w:t xml:space="preserve">Burns, S. &amp; Cupitt, S. (2003). Managing Outcomes; A Guide for Homelessness Organisations. London: Charities Evaluation Services. </w:t>
      </w:r>
    </w:p>
    <w:p w14:paraId="724D3CDF" w14:textId="77777777" w:rsidR="00BF7A58" w:rsidRDefault="008F4D27" w:rsidP="00203321">
      <w:pPr>
        <w:pStyle w:val="ListParagraph"/>
        <w:numPr>
          <w:ilvl w:val="0"/>
          <w:numId w:val="34"/>
        </w:numPr>
        <w:ind w:left="1080"/>
        <w:rPr>
          <w:b/>
        </w:rPr>
      </w:pPr>
      <w:hyperlink r:id="rId17" w:history="1">
        <w:r w:rsidR="00BF7A58" w:rsidRPr="00500473">
          <w:rPr>
            <w:rStyle w:val="Hyperlink"/>
            <w:rFonts w:cs="Arial"/>
            <w:szCs w:val="24"/>
          </w:rPr>
          <w:t>http://homelesshub.ca/resource/managing-outcomes-guide-homelessness-organizations</w:t>
        </w:r>
      </w:hyperlink>
    </w:p>
    <w:p w14:paraId="18253113" w14:textId="77777777" w:rsidR="003553C1" w:rsidRDefault="003553C1" w:rsidP="00203321">
      <w:pPr>
        <w:pStyle w:val="Heading2"/>
      </w:pPr>
      <w:bookmarkStart w:id="57" w:name="_Toc511117817"/>
      <w:bookmarkStart w:id="58" w:name="_Toc6832915"/>
      <w:r>
        <w:t xml:space="preserve">Date: Thursday, </w:t>
      </w:r>
      <w:r w:rsidR="007970AB">
        <w:t>June 6</w:t>
      </w:r>
      <w:r>
        <w:t>, 201</w:t>
      </w:r>
      <w:r w:rsidR="007970AB">
        <w:t>9</w:t>
      </w:r>
      <w:bookmarkEnd w:id="57"/>
      <w:bookmarkEnd w:id="58"/>
    </w:p>
    <w:p w14:paraId="65D85554" w14:textId="77777777" w:rsidR="003553C1" w:rsidRPr="00C714B6" w:rsidRDefault="003553C1" w:rsidP="00203321">
      <w:pPr>
        <w:pStyle w:val="Heading3"/>
        <w:rPr>
          <w:b/>
        </w:rPr>
      </w:pPr>
      <w:bookmarkStart w:id="59" w:name="_Toc511117818"/>
      <w:r w:rsidRPr="00C714B6">
        <w:t>Topic:</w:t>
      </w:r>
      <w:bookmarkEnd w:id="59"/>
    </w:p>
    <w:p w14:paraId="374E76E5" w14:textId="77777777" w:rsidR="003553C1" w:rsidRPr="00415C5C" w:rsidRDefault="003553C1" w:rsidP="00203321">
      <w:pPr>
        <w:pStyle w:val="ListParagraph"/>
        <w:numPr>
          <w:ilvl w:val="0"/>
          <w:numId w:val="34"/>
        </w:numPr>
        <w:ind w:left="1080"/>
        <w:rPr>
          <w:lang w:val="en-GB"/>
        </w:rPr>
      </w:pPr>
      <w:r w:rsidRPr="00415C5C">
        <w:t xml:space="preserve">Evaluation and </w:t>
      </w:r>
      <w:r>
        <w:t>Social Relations</w:t>
      </w:r>
      <w:r w:rsidRPr="00415C5C">
        <w:t xml:space="preserve"> </w:t>
      </w:r>
    </w:p>
    <w:p w14:paraId="583400F0" w14:textId="77777777" w:rsidR="003553C1" w:rsidRPr="00415C5C" w:rsidRDefault="003553C1" w:rsidP="00203321">
      <w:pPr>
        <w:pStyle w:val="Heading3"/>
        <w:rPr>
          <w:lang w:val="en-GB"/>
        </w:rPr>
      </w:pPr>
      <w:r w:rsidRPr="00415C5C">
        <w:t>Readings:</w:t>
      </w:r>
    </w:p>
    <w:p w14:paraId="5E14D78B" w14:textId="77777777" w:rsidR="003553C1" w:rsidRDefault="003553C1" w:rsidP="00203321">
      <w:pPr>
        <w:pStyle w:val="ListParagraph"/>
        <w:numPr>
          <w:ilvl w:val="0"/>
          <w:numId w:val="34"/>
        </w:numPr>
        <w:ind w:left="1080"/>
        <w:rPr>
          <w:b/>
        </w:rPr>
      </w:pPr>
      <w:r w:rsidRPr="001C2137">
        <w:t xml:space="preserve">Abma, T. (2006). The Social Relations of Evaluation. In I.Shaw, J. Greene &amp; M. Mark (eds), </w:t>
      </w:r>
      <w:r w:rsidRPr="001C2137">
        <w:rPr>
          <w:i/>
        </w:rPr>
        <w:t>Sage Handbook of Evaluation</w:t>
      </w:r>
      <w:r w:rsidRPr="001C2137">
        <w:t xml:space="preserve"> (184-199), London: Sage Publications.</w:t>
      </w:r>
      <w:r w:rsidR="00D058F2">
        <w:t xml:space="preserve"> Available online at the library.</w:t>
      </w:r>
    </w:p>
    <w:p w14:paraId="609DDFF6" w14:textId="77777777" w:rsidR="009B064A" w:rsidRDefault="009B064A" w:rsidP="00203321">
      <w:pPr>
        <w:pStyle w:val="ListParagraph"/>
        <w:numPr>
          <w:ilvl w:val="0"/>
          <w:numId w:val="34"/>
        </w:numPr>
        <w:ind w:left="1080"/>
        <w:rPr>
          <w:b/>
        </w:rPr>
      </w:pPr>
      <w:r>
        <w:lastRenderedPageBreak/>
        <w:t xml:space="preserve">Greene, J. (2000). Challenges in Practicing Deliberative, Democractic Evaluation. </w:t>
      </w:r>
      <w:r w:rsidRPr="009B064A">
        <w:rPr>
          <w:i/>
        </w:rPr>
        <w:t>New Directions for Evaluation 85</w:t>
      </w:r>
      <w:r>
        <w:t>, 13-26.</w:t>
      </w:r>
    </w:p>
    <w:p w14:paraId="23A5D2DC" w14:textId="77777777" w:rsidR="00297102" w:rsidRDefault="003553C1" w:rsidP="00203321">
      <w:pPr>
        <w:pStyle w:val="Heading2"/>
      </w:pPr>
      <w:bookmarkStart w:id="60" w:name="_Toc6832916"/>
      <w:r w:rsidRPr="003553C1">
        <w:t xml:space="preserve">Date: </w:t>
      </w:r>
      <w:r w:rsidR="0073186D">
        <w:t xml:space="preserve">Monday June </w:t>
      </w:r>
      <w:r w:rsidR="007970AB">
        <w:t>10</w:t>
      </w:r>
      <w:r w:rsidRPr="003553C1">
        <w:t>, 2018</w:t>
      </w:r>
      <w:bookmarkEnd w:id="60"/>
    </w:p>
    <w:p w14:paraId="2B970A61" w14:textId="77777777" w:rsidR="003553C1" w:rsidRDefault="003553C1" w:rsidP="00203321">
      <w:pPr>
        <w:pStyle w:val="Heading3"/>
        <w:rPr>
          <w:b/>
        </w:rPr>
      </w:pPr>
      <w:r>
        <w:t>Topic:</w:t>
      </w:r>
    </w:p>
    <w:p w14:paraId="5C75F784" w14:textId="77777777" w:rsidR="003553C1" w:rsidRPr="002A7999" w:rsidRDefault="003553C1" w:rsidP="00203321">
      <w:pPr>
        <w:pStyle w:val="ListParagraph"/>
        <w:numPr>
          <w:ilvl w:val="0"/>
          <w:numId w:val="34"/>
        </w:numPr>
        <w:ind w:left="1080"/>
        <w:rPr>
          <w:b/>
          <w:u w:val="single"/>
        </w:rPr>
      </w:pPr>
      <w:r w:rsidRPr="002A7999">
        <w:t xml:space="preserve">Evaluation and </w:t>
      </w:r>
      <w:r w:rsidR="002D0E63" w:rsidRPr="002A7999">
        <w:t>Dialogue/</w:t>
      </w:r>
      <w:r w:rsidRPr="002A7999">
        <w:t>Facilitation</w:t>
      </w:r>
    </w:p>
    <w:p w14:paraId="34A55959" w14:textId="77777777" w:rsidR="003553C1" w:rsidRPr="002A7999" w:rsidRDefault="003553C1" w:rsidP="00203321">
      <w:pPr>
        <w:pStyle w:val="Heading3"/>
        <w:rPr>
          <w:b/>
        </w:rPr>
      </w:pPr>
      <w:r w:rsidRPr="002A7999">
        <w:t>Readings:</w:t>
      </w:r>
    </w:p>
    <w:p w14:paraId="46616F5E" w14:textId="77777777" w:rsidR="003553C1" w:rsidRDefault="003553C1" w:rsidP="00203321">
      <w:pPr>
        <w:pStyle w:val="ListParagraph"/>
        <w:numPr>
          <w:ilvl w:val="0"/>
          <w:numId w:val="34"/>
        </w:numPr>
        <w:ind w:left="1080"/>
        <w:rPr>
          <w:b/>
        </w:rPr>
      </w:pPr>
      <w:r w:rsidRPr="006A676B">
        <w:t xml:space="preserve">Fierro, R. S. (2016). Enhancing facilitation skills: Dancing with dynamic tensions. In R. S.Fierro, A. Schwartz, &amp; D. H. Smart (Eds.), </w:t>
      </w:r>
      <w:r w:rsidRPr="006A676B">
        <w:rPr>
          <w:i/>
          <w:iCs/>
        </w:rPr>
        <w:t>Evaluation and Facilitation. New Directions for Evaluation</w:t>
      </w:r>
      <w:r w:rsidRPr="006A676B">
        <w:t xml:space="preserve">, </w:t>
      </w:r>
      <w:r w:rsidRPr="006A676B">
        <w:rPr>
          <w:i/>
          <w:iCs/>
        </w:rPr>
        <w:t>149</w:t>
      </w:r>
      <w:r w:rsidRPr="006A676B">
        <w:t>, 31–42.</w:t>
      </w:r>
    </w:p>
    <w:p w14:paraId="22FA404B" w14:textId="77777777" w:rsidR="002D0E63" w:rsidRDefault="002D0E63" w:rsidP="00203321">
      <w:pPr>
        <w:pStyle w:val="ListParagraph"/>
        <w:numPr>
          <w:ilvl w:val="0"/>
          <w:numId w:val="34"/>
        </w:numPr>
        <w:ind w:left="1080"/>
        <w:rPr>
          <w:b/>
        </w:rPr>
      </w:pPr>
      <w:r>
        <w:t xml:space="preserve">Abma, T. (2001). Reflexive Dialogues: A Story about the Development of Injury Prevention in Two Performing Arts Schools. </w:t>
      </w:r>
      <w:r w:rsidRPr="002D0E63">
        <w:rPr>
          <w:i/>
        </w:rPr>
        <w:t>Evaluation 7</w:t>
      </w:r>
      <w:r>
        <w:t>(2), 238-252.</w:t>
      </w:r>
    </w:p>
    <w:p w14:paraId="75813A3C" w14:textId="77777777" w:rsidR="00251392" w:rsidRDefault="00251392" w:rsidP="00203321">
      <w:pPr>
        <w:pStyle w:val="ListParagraph"/>
        <w:numPr>
          <w:ilvl w:val="0"/>
          <w:numId w:val="34"/>
        </w:numPr>
        <w:ind w:left="1080"/>
        <w:rPr>
          <w:b/>
        </w:rPr>
      </w:pPr>
      <w:r>
        <w:t>Evaluation Example; from the Art of Hosting Website:  Hosting in a Hurry:</w:t>
      </w:r>
      <w:r w:rsidRPr="00251392">
        <w:t xml:space="preserve"> </w:t>
      </w:r>
      <w:hyperlink r:id="rId18" w:history="1">
        <w:r w:rsidR="009D5D38" w:rsidRPr="00A325EB">
          <w:rPr>
            <w:rStyle w:val="Hyperlink"/>
            <w:rFonts w:cs="Arial"/>
            <w:szCs w:val="24"/>
          </w:rPr>
          <w:t>http://www.artofhosting.org/wp-content/uploads/2012/10/Hostinginahurryversion1.5ChrisC.pdf</w:t>
        </w:r>
      </w:hyperlink>
    </w:p>
    <w:p w14:paraId="79A40A74" w14:textId="77777777" w:rsidR="00251392" w:rsidRDefault="00251392" w:rsidP="00203321">
      <w:pPr>
        <w:pStyle w:val="Heading2"/>
      </w:pPr>
      <w:bookmarkStart w:id="61" w:name="_Toc6832917"/>
      <w:r w:rsidRPr="003553C1">
        <w:t xml:space="preserve">Date: Thursday </w:t>
      </w:r>
      <w:r w:rsidR="0073186D">
        <w:t xml:space="preserve">June </w:t>
      </w:r>
      <w:r w:rsidR="007970AB">
        <w:t>13</w:t>
      </w:r>
      <w:r w:rsidRPr="003553C1">
        <w:t>, 201</w:t>
      </w:r>
      <w:r w:rsidR="007970AB">
        <w:t>9</w:t>
      </w:r>
      <w:bookmarkEnd w:id="61"/>
    </w:p>
    <w:p w14:paraId="2531EB52" w14:textId="77777777" w:rsidR="00251392" w:rsidRDefault="00251392" w:rsidP="00203321">
      <w:pPr>
        <w:pStyle w:val="Heading3"/>
        <w:rPr>
          <w:b/>
        </w:rPr>
      </w:pPr>
      <w:r>
        <w:t>Topic:</w:t>
      </w:r>
    </w:p>
    <w:p w14:paraId="071D60EA" w14:textId="77777777" w:rsidR="0073186D" w:rsidRPr="0073186D" w:rsidRDefault="0073186D" w:rsidP="00203321">
      <w:pPr>
        <w:pStyle w:val="ListParagraph"/>
        <w:numPr>
          <w:ilvl w:val="0"/>
          <w:numId w:val="34"/>
        </w:numPr>
        <w:ind w:left="1080"/>
        <w:rPr>
          <w:b/>
          <w:u w:val="single"/>
        </w:rPr>
      </w:pPr>
      <w:r w:rsidRPr="0073186D">
        <w:t xml:space="preserve">Arts Based </w:t>
      </w:r>
      <w:r w:rsidR="00251392" w:rsidRPr="0073186D">
        <w:t xml:space="preserve">Evaluation </w:t>
      </w:r>
    </w:p>
    <w:p w14:paraId="0D1BA65C" w14:textId="77777777" w:rsidR="00A7112F" w:rsidRDefault="00251392" w:rsidP="00203321">
      <w:pPr>
        <w:pStyle w:val="Heading3"/>
        <w:rPr>
          <w:b/>
        </w:rPr>
      </w:pPr>
      <w:r w:rsidRPr="0073186D">
        <w:t>Readings:</w:t>
      </w:r>
    </w:p>
    <w:p w14:paraId="78C9D77C" w14:textId="77777777" w:rsidR="006C300D" w:rsidRDefault="006C300D" w:rsidP="00203321">
      <w:pPr>
        <w:pStyle w:val="ListParagraph"/>
        <w:numPr>
          <w:ilvl w:val="0"/>
          <w:numId w:val="34"/>
        </w:numPr>
        <w:ind w:left="1080"/>
        <w:rPr>
          <w:b/>
        </w:rPr>
      </w:pPr>
      <w:r w:rsidRPr="00A7112F">
        <w:t xml:space="preserve">Sinding, C. &amp; Barnes, H. (2015). How art works; hopes, claims and possibilities for social justice. In C. Sinding and H. Barnes (Eds). </w:t>
      </w:r>
      <w:r w:rsidRPr="00A7112F">
        <w:rPr>
          <w:i/>
        </w:rPr>
        <w:t>Social Work Artfully,</w:t>
      </w:r>
      <w:r w:rsidRPr="00A7112F">
        <w:t xml:space="preserve"> Pp. 27-42.  Waterloo: Wilfrid Laurier University Press. (ebook available at library)</w:t>
      </w:r>
    </w:p>
    <w:p w14:paraId="725C957F" w14:textId="77777777" w:rsidR="00A7112F" w:rsidRPr="00A7112F" w:rsidRDefault="00A7112F" w:rsidP="00203321">
      <w:pPr>
        <w:pStyle w:val="ListParagraph"/>
        <w:numPr>
          <w:ilvl w:val="0"/>
          <w:numId w:val="34"/>
        </w:numPr>
        <w:ind w:left="1080"/>
        <w:rPr>
          <w:b/>
        </w:rPr>
      </w:pPr>
      <w:r>
        <w:t xml:space="preserve">Simons, H. &amp; McCormack, B. (2007). Integrating Arts-Based Inquiry in Evaluation Methodology. </w:t>
      </w:r>
      <w:r w:rsidRPr="00AA3290">
        <w:rPr>
          <w:i/>
        </w:rPr>
        <w:t>Qualitative Inquiry 13</w:t>
      </w:r>
      <w:r>
        <w:t>(2), 292-311.</w:t>
      </w:r>
    </w:p>
    <w:p w14:paraId="64E0273D" w14:textId="77777777" w:rsidR="00BF7A58" w:rsidRPr="00BF7A58" w:rsidRDefault="00145477" w:rsidP="00203321">
      <w:pPr>
        <w:pStyle w:val="ListParagraph"/>
        <w:numPr>
          <w:ilvl w:val="0"/>
          <w:numId w:val="34"/>
        </w:numPr>
        <w:ind w:left="1080"/>
        <w:rPr>
          <w:lang w:val="en-GB"/>
        </w:rPr>
      </w:pPr>
      <w:r w:rsidRPr="00415C5C">
        <w:rPr>
          <w:u w:val="single"/>
        </w:rPr>
        <w:t>Evaluation Example</w:t>
      </w:r>
      <w:r w:rsidRPr="00415C5C">
        <w:t>: International HIV/AIDS Alliance. (2006). Tools Together Now: 100 participatory tools to mobilize communities for HIV/AIDS. See sections B, C, D &amp; E.</w:t>
      </w:r>
      <w:r w:rsidR="00BF7A58" w:rsidRPr="00BF7A58">
        <w:t xml:space="preserve"> </w:t>
      </w:r>
      <w:hyperlink r:id="rId19" w:history="1">
        <w:r w:rsidR="00BF7A58" w:rsidRPr="00500473">
          <w:rPr>
            <w:rStyle w:val="Hyperlink"/>
            <w:rFonts w:cs="Arial"/>
            <w:szCs w:val="24"/>
          </w:rPr>
          <w:t>https://www.aidsalliance.org/assets/000/000/370/229-Tools-together-now_original.pdf?1405520036</w:t>
        </w:r>
      </w:hyperlink>
    </w:p>
    <w:p w14:paraId="064E43FA" w14:textId="77777777" w:rsidR="00C93CD2" w:rsidRDefault="00C93CD2" w:rsidP="00203321">
      <w:pPr>
        <w:pStyle w:val="Heading2"/>
      </w:pPr>
      <w:bookmarkStart w:id="62" w:name="_Toc6832918"/>
      <w:r w:rsidRPr="003553C1">
        <w:t xml:space="preserve">Date: </w:t>
      </w:r>
      <w:r>
        <w:t>Monday June 1</w:t>
      </w:r>
      <w:r w:rsidR="007970AB">
        <w:t>7, 2019</w:t>
      </w:r>
      <w:bookmarkEnd w:id="62"/>
    </w:p>
    <w:p w14:paraId="0392881E" w14:textId="77777777" w:rsidR="00C93CD2" w:rsidRDefault="00C93CD2" w:rsidP="00203321">
      <w:pPr>
        <w:pStyle w:val="Heading3"/>
        <w:rPr>
          <w:b/>
        </w:rPr>
      </w:pPr>
      <w:r>
        <w:t>Topic:</w:t>
      </w:r>
    </w:p>
    <w:p w14:paraId="277CA684" w14:textId="77777777" w:rsidR="00C93CD2" w:rsidRPr="0073186D" w:rsidRDefault="00C93CD2" w:rsidP="00203321">
      <w:pPr>
        <w:pStyle w:val="ListParagraph"/>
        <w:numPr>
          <w:ilvl w:val="0"/>
          <w:numId w:val="34"/>
        </w:numPr>
        <w:ind w:left="1080"/>
        <w:rPr>
          <w:b/>
          <w:u w:val="single"/>
        </w:rPr>
      </w:pPr>
      <w:r>
        <w:t>Evaluation and Social Change</w:t>
      </w:r>
      <w:r w:rsidRPr="0073186D">
        <w:t xml:space="preserve"> </w:t>
      </w:r>
    </w:p>
    <w:p w14:paraId="740CD198" w14:textId="77777777" w:rsidR="00C93CD2" w:rsidRPr="0073186D" w:rsidRDefault="00C93CD2" w:rsidP="00203321">
      <w:pPr>
        <w:pStyle w:val="Heading3"/>
        <w:rPr>
          <w:b/>
        </w:rPr>
      </w:pPr>
      <w:r w:rsidRPr="0073186D">
        <w:t>Readings:</w:t>
      </w:r>
    </w:p>
    <w:p w14:paraId="2AD1A48A" w14:textId="77777777" w:rsidR="00C93CD2" w:rsidRPr="007C6023" w:rsidRDefault="00C93CD2" w:rsidP="00203321">
      <w:pPr>
        <w:pStyle w:val="ListParagraph"/>
        <w:numPr>
          <w:ilvl w:val="0"/>
          <w:numId w:val="34"/>
        </w:numPr>
        <w:ind w:left="1080"/>
        <w:rPr>
          <w:b/>
        </w:rPr>
      </w:pPr>
      <w:r w:rsidRPr="007C6023">
        <w:t xml:space="preserve">Dart, J. &amp; Davies, R. (2003). A Dialogical, Story-Based Evaluation Tool: The Most Significant Change Technique. </w:t>
      </w:r>
      <w:r w:rsidRPr="007C6023">
        <w:rPr>
          <w:i/>
        </w:rPr>
        <w:t>American Journal of Evaluation 24</w:t>
      </w:r>
      <w:r w:rsidRPr="007C6023">
        <w:t>(2), 137-155.</w:t>
      </w:r>
    </w:p>
    <w:p w14:paraId="47A20066" w14:textId="77777777" w:rsidR="00C93CD2" w:rsidRDefault="00C93CD2" w:rsidP="00203321">
      <w:pPr>
        <w:pStyle w:val="ListParagraph"/>
        <w:numPr>
          <w:ilvl w:val="0"/>
          <w:numId w:val="34"/>
        </w:numPr>
        <w:ind w:left="1080"/>
        <w:rPr>
          <w:b/>
        </w:rPr>
      </w:pPr>
      <w:r w:rsidRPr="007C6023">
        <w:t xml:space="preserve">Fletcher, G. &amp; Dyson, S. (2013). Evaluation as a work in progress: Stories of shared learning and development. </w:t>
      </w:r>
      <w:r w:rsidRPr="007C6023">
        <w:rPr>
          <w:i/>
        </w:rPr>
        <w:t>Evaluation 19</w:t>
      </w:r>
      <w:r w:rsidRPr="007C6023">
        <w:t>(4), 419-430.</w:t>
      </w:r>
    </w:p>
    <w:p w14:paraId="2CF620B9" w14:textId="77777777" w:rsidR="007C6023" w:rsidRPr="00987F1A" w:rsidRDefault="007C6023" w:rsidP="00203321">
      <w:pPr>
        <w:pStyle w:val="ListParagraph"/>
        <w:numPr>
          <w:ilvl w:val="0"/>
          <w:numId w:val="34"/>
        </w:numPr>
        <w:ind w:left="1080"/>
        <w:rPr>
          <w:b/>
        </w:rPr>
      </w:pPr>
      <w:r>
        <w:lastRenderedPageBreak/>
        <w:t xml:space="preserve">Evaluation Example:  Davies, R. &amp; Dart, J. (2005). The Most Significant Change Technique: A Guide to Its Use. CARE International, United Kingdom, Chapters 1 &amp; 2. </w:t>
      </w:r>
      <w:hyperlink r:id="rId20" w:history="1">
        <w:r w:rsidRPr="00987F1A">
          <w:rPr>
            <w:rStyle w:val="Hyperlink"/>
            <w:rFonts w:cs="Arial"/>
            <w:szCs w:val="24"/>
          </w:rPr>
          <w:t>http://www.alnap.org/resource/8102.aspx</w:t>
        </w:r>
      </w:hyperlink>
    </w:p>
    <w:p w14:paraId="7952209C" w14:textId="77777777" w:rsidR="00674A21" w:rsidRDefault="00674A21" w:rsidP="00203321">
      <w:pPr>
        <w:pStyle w:val="Heading2"/>
      </w:pPr>
      <w:bookmarkStart w:id="63" w:name="_Toc6832919"/>
      <w:r w:rsidRPr="003553C1">
        <w:t xml:space="preserve">Date: </w:t>
      </w:r>
      <w:r>
        <w:t xml:space="preserve">Thursday, June </w:t>
      </w:r>
      <w:r w:rsidR="007970AB">
        <w:t>20</w:t>
      </w:r>
      <w:r w:rsidRPr="003553C1">
        <w:t>, 201</w:t>
      </w:r>
      <w:r w:rsidR="007970AB">
        <w:t>9</w:t>
      </w:r>
      <w:bookmarkEnd w:id="63"/>
    </w:p>
    <w:p w14:paraId="5EBA04D8" w14:textId="77777777" w:rsidR="00674A21" w:rsidRDefault="00674A21" w:rsidP="00203321">
      <w:pPr>
        <w:pStyle w:val="Heading3"/>
        <w:rPr>
          <w:b/>
        </w:rPr>
      </w:pPr>
      <w:r>
        <w:t>Topic:</w:t>
      </w:r>
    </w:p>
    <w:p w14:paraId="2158BC32" w14:textId="77777777" w:rsidR="00674A21" w:rsidRPr="0073186D" w:rsidRDefault="00674A21" w:rsidP="00203321">
      <w:pPr>
        <w:pStyle w:val="ListParagraph"/>
        <w:numPr>
          <w:ilvl w:val="0"/>
          <w:numId w:val="34"/>
        </w:numPr>
        <w:ind w:left="1080"/>
        <w:rPr>
          <w:b/>
          <w:u w:val="single"/>
        </w:rPr>
      </w:pPr>
      <w:r>
        <w:t xml:space="preserve">Building Capacity for Evaluation </w:t>
      </w:r>
    </w:p>
    <w:p w14:paraId="643888F4" w14:textId="77777777" w:rsidR="00674A21" w:rsidRDefault="00674A21" w:rsidP="00203321">
      <w:pPr>
        <w:pStyle w:val="Heading3"/>
        <w:rPr>
          <w:b/>
        </w:rPr>
      </w:pPr>
      <w:r w:rsidRPr="0073186D">
        <w:t>Readings:</w:t>
      </w:r>
    </w:p>
    <w:p w14:paraId="67EADAB8" w14:textId="77777777" w:rsidR="00674A21" w:rsidRDefault="00674A21" w:rsidP="00203321">
      <w:pPr>
        <w:pStyle w:val="ListParagraph"/>
        <w:numPr>
          <w:ilvl w:val="0"/>
          <w:numId w:val="34"/>
        </w:numPr>
        <w:ind w:left="1080"/>
        <w:rPr>
          <w:b/>
        </w:rPr>
      </w:pPr>
      <w:r w:rsidRPr="00674A21">
        <w:t xml:space="preserve">Danseco, E. (2013). The 5 Cs for Innovation in Evaluation Capacity Building: Lessons from the Field. </w:t>
      </w:r>
      <w:r w:rsidRPr="00674A21">
        <w:rPr>
          <w:i/>
        </w:rPr>
        <w:t>Canadian Journal of Program Evaluation 28</w:t>
      </w:r>
      <w:r w:rsidRPr="00674A21">
        <w:t>(2), 107-117.</w:t>
      </w:r>
    </w:p>
    <w:p w14:paraId="37D5BC21" w14:textId="77777777" w:rsidR="009B6AAE" w:rsidRPr="009D5D38" w:rsidRDefault="00674A21" w:rsidP="00203321">
      <w:pPr>
        <w:pStyle w:val="ListParagraph"/>
        <w:numPr>
          <w:ilvl w:val="0"/>
          <w:numId w:val="34"/>
        </w:numPr>
        <w:ind w:left="1080"/>
        <w:rPr>
          <w:b/>
        </w:rPr>
      </w:pPr>
      <w:r w:rsidRPr="00674A21">
        <w:t xml:space="preserve">Runnels, V., Andrew, C., &amp; Rae, J. (2017). </w:t>
      </w:r>
      <w:r w:rsidRPr="00674A21">
        <w:rPr>
          <w:bCs/>
        </w:rPr>
        <w:t xml:space="preserve">Building Evaluation Culture and Capacity in a Community-Level Program: Lessons Learned from Evaluating Youth Futures. </w:t>
      </w:r>
      <w:r w:rsidRPr="00674A21">
        <w:rPr>
          <w:bCs/>
          <w:i/>
        </w:rPr>
        <w:t>Canadian Journal of Evaluation 32</w:t>
      </w:r>
      <w:r w:rsidRPr="00674A21">
        <w:rPr>
          <w:bCs/>
        </w:rPr>
        <w:t>(1), 122-130.</w:t>
      </w:r>
    </w:p>
    <w:sectPr w:rsidR="009B6AAE" w:rsidRPr="009D5D38" w:rsidSect="00E376BD">
      <w:footerReference w:type="default" r:id="rId21"/>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5CB18" w14:textId="77777777" w:rsidR="008F4D27" w:rsidRDefault="008F4D27" w:rsidP="003562E3">
      <w:r>
        <w:separator/>
      </w:r>
    </w:p>
  </w:endnote>
  <w:endnote w:type="continuationSeparator" w:id="0">
    <w:p w14:paraId="475FCFA7" w14:textId="77777777" w:rsidR="008F4D27" w:rsidRDefault="008F4D2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BC92" w14:textId="40DAE73C" w:rsidR="00080608" w:rsidRPr="002C6ABB" w:rsidRDefault="00EC3037" w:rsidP="002C6ABB">
    <w:pPr>
      <w:pStyle w:val="Footer"/>
      <w:pBdr>
        <w:top w:val="thinThickSmallGap" w:sz="24" w:space="1" w:color="622423"/>
      </w:pBdr>
      <w:tabs>
        <w:tab w:val="clear" w:pos="4680"/>
      </w:tabs>
      <w:rPr>
        <w:rFonts w:ascii="Cambria" w:hAnsi="Cambria"/>
      </w:rPr>
    </w:pPr>
    <w:r>
      <w:rPr>
        <w:rFonts w:ascii="Cambria" w:hAnsi="Cambria"/>
      </w:rPr>
      <w:t>SW7</w:t>
    </w:r>
    <w:r w:rsidR="00E951DD">
      <w:rPr>
        <w:rFonts w:ascii="Cambria" w:hAnsi="Cambria"/>
      </w:rPr>
      <w:t>43</w:t>
    </w:r>
    <w:r>
      <w:rPr>
        <w:rFonts w:ascii="Cambria" w:hAnsi="Cambria"/>
      </w:rPr>
      <w:t xml:space="preserve">, </w:t>
    </w:r>
    <w:r w:rsidR="00E951DD">
      <w:rPr>
        <w:rFonts w:ascii="Cambria" w:hAnsi="Cambria"/>
      </w:rPr>
      <w:t>Spring</w:t>
    </w:r>
    <w:r>
      <w:rPr>
        <w:rFonts w:ascii="Cambria" w:hAnsi="Cambria"/>
      </w:rPr>
      <w:t xml:space="preserve"> 201</w:t>
    </w:r>
    <w:r w:rsidR="005C2869">
      <w:rPr>
        <w:rFonts w:ascii="Cambria" w:hAnsi="Cambria"/>
      </w:rPr>
      <w:t>9</w:t>
    </w:r>
    <w:r w:rsidR="00080608" w:rsidRPr="002C6ABB">
      <w:rPr>
        <w:rFonts w:ascii="Cambria" w:hAnsi="Cambria"/>
      </w:rPr>
      <w:tab/>
      <w:t xml:space="preserve">Page </w:t>
    </w:r>
    <w:r w:rsidR="00870251" w:rsidRPr="002C6ABB">
      <w:rPr>
        <w:rFonts w:ascii="Calibri" w:hAnsi="Calibri"/>
      </w:rPr>
      <w:fldChar w:fldCharType="begin"/>
    </w:r>
    <w:r w:rsidR="00080608">
      <w:instrText xml:space="preserve"> PAGE   \* MERGEFORMAT </w:instrText>
    </w:r>
    <w:r w:rsidR="00870251" w:rsidRPr="002C6ABB">
      <w:rPr>
        <w:rFonts w:ascii="Calibri" w:hAnsi="Calibri"/>
      </w:rPr>
      <w:fldChar w:fldCharType="separate"/>
    </w:r>
    <w:r w:rsidR="002F0E18" w:rsidRPr="002F0E18">
      <w:rPr>
        <w:rFonts w:ascii="Cambria" w:hAnsi="Cambria"/>
        <w:noProof/>
      </w:rPr>
      <w:t>1</w:t>
    </w:r>
    <w:r w:rsidR="00870251" w:rsidRPr="002C6ABB">
      <w:rPr>
        <w:rFonts w:ascii="Cambria" w:hAnsi="Cambria"/>
        <w:noProof/>
      </w:rPr>
      <w:fldChar w:fldCharType="end"/>
    </w:r>
  </w:p>
  <w:p w14:paraId="193009A7" w14:textId="77777777" w:rsidR="00080608" w:rsidRDefault="000806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0045C" w14:textId="77777777" w:rsidR="008F4D27" w:rsidRDefault="008F4D27" w:rsidP="003562E3">
      <w:r>
        <w:separator/>
      </w:r>
    </w:p>
  </w:footnote>
  <w:footnote w:type="continuationSeparator" w:id="0">
    <w:p w14:paraId="3261F398" w14:textId="77777777" w:rsidR="008F4D27" w:rsidRDefault="008F4D27" w:rsidP="003562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96F0D"/>
    <w:multiLevelType w:val="hybridMultilevel"/>
    <w:tmpl w:val="080E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C0B3D"/>
    <w:multiLevelType w:val="hybridMultilevel"/>
    <w:tmpl w:val="890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F1F4F"/>
    <w:multiLevelType w:val="hybridMultilevel"/>
    <w:tmpl w:val="A9C6C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B7AF1"/>
    <w:multiLevelType w:val="hybridMultilevel"/>
    <w:tmpl w:val="7292C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0F2A"/>
    <w:multiLevelType w:val="hybridMultilevel"/>
    <w:tmpl w:val="DD6C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21C9B"/>
    <w:multiLevelType w:val="hybridMultilevel"/>
    <w:tmpl w:val="5538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E5DEC"/>
    <w:multiLevelType w:val="hybridMultilevel"/>
    <w:tmpl w:val="BC82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852"/>
    <w:multiLevelType w:val="hybridMultilevel"/>
    <w:tmpl w:val="BD36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E2B07"/>
    <w:multiLevelType w:val="hybridMultilevel"/>
    <w:tmpl w:val="CA3E64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0E32F4"/>
    <w:multiLevelType w:val="hybridMultilevel"/>
    <w:tmpl w:val="A380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E6BEC"/>
    <w:multiLevelType w:val="hybridMultilevel"/>
    <w:tmpl w:val="2A0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0676C"/>
    <w:multiLevelType w:val="hybridMultilevel"/>
    <w:tmpl w:val="8664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8066B"/>
    <w:multiLevelType w:val="hybridMultilevel"/>
    <w:tmpl w:val="1D7C7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25306D"/>
    <w:multiLevelType w:val="hybridMultilevel"/>
    <w:tmpl w:val="C6C89482"/>
    <w:lvl w:ilvl="0" w:tplc="12640CA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6352DD"/>
    <w:multiLevelType w:val="hybridMultilevel"/>
    <w:tmpl w:val="5FF0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5C01"/>
    <w:multiLevelType w:val="hybridMultilevel"/>
    <w:tmpl w:val="219CD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06567C"/>
    <w:multiLevelType w:val="hybridMultilevel"/>
    <w:tmpl w:val="DBE0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40C8"/>
    <w:multiLevelType w:val="hybridMultilevel"/>
    <w:tmpl w:val="E31A1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A6AC7"/>
    <w:multiLevelType w:val="hybridMultilevel"/>
    <w:tmpl w:val="99282E6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3" w15:restartNumberingAfterBreak="0">
    <w:nsid w:val="49004345"/>
    <w:multiLevelType w:val="hybridMultilevel"/>
    <w:tmpl w:val="F2F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666CE"/>
    <w:multiLevelType w:val="hybridMultilevel"/>
    <w:tmpl w:val="6D5E2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33820"/>
    <w:multiLevelType w:val="multilevel"/>
    <w:tmpl w:val="5C6E428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i w:val="0"/>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476B91"/>
    <w:multiLevelType w:val="hybridMultilevel"/>
    <w:tmpl w:val="38A46464"/>
    <w:lvl w:ilvl="0" w:tplc="C332E8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25EFE"/>
    <w:multiLevelType w:val="hybridMultilevel"/>
    <w:tmpl w:val="EDBCF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130CE4"/>
    <w:multiLevelType w:val="hybridMultilevel"/>
    <w:tmpl w:val="64A6CC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74C44C9F"/>
    <w:multiLevelType w:val="hybridMultilevel"/>
    <w:tmpl w:val="7E202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E4723"/>
    <w:multiLevelType w:val="hybridMultilevel"/>
    <w:tmpl w:val="9AB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4"/>
  </w:num>
  <w:num w:numId="4">
    <w:abstractNumId w:val="12"/>
  </w:num>
  <w:num w:numId="5">
    <w:abstractNumId w:val="23"/>
  </w:num>
  <w:num w:numId="6">
    <w:abstractNumId w:val="13"/>
  </w:num>
  <w:num w:numId="7">
    <w:abstractNumId w:val="27"/>
  </w:num>
  <w:num w:numId="8">
    <w:abstractNumId w:val="28"/>
  </w:num>
  <w:num w:numId="9">
    <w:abstractNumId w:val="7"/>
  </w:num>
  <w:num w:numId="10">
    <w:abstractNumId w:val="30"/>
  </w:num>
  <w:num w:numId="11">
    <w:abstractNumId w:val="31"/>
  </w:num>
  <w:num w:numId="12">
    <w:abstractNumId w:val="17"/>
  </w:num>
  <w:num w:numId="13">
    <w:abstractNumId w:val="16"/>
  </w:num>
  <w:num w:numId="14">
    <w:abstractNumId w:val="11"/>
  </w:num>
  <w:num w:numId="15">
    <w:abstractNumId w:val="10"/>
  </w:num>
  <w:num w:numId="16">
    <w:abstractNumId w:val="3"/>
  </w:num>
  <w:num w:numId="17">
    <w:abstractNumId w:val="22"/>
  </w:num>
  <w:num w:numId="18">
    <w:abstractNumId w:val="4"/>
  </w:num>
  <w:num w:numId="19">
    <w:abstractNumId w:val="8"/>
  </w:num>
  <w:num w:numId="20">
    <w:abstractNumId w:val="20"/>
  </w:num>
  <w:num w:numId="21">
    <w:abstractNumId w:val="21"/>
  </w:num>
  <w:num w:numId="22">
    <w:abstractNumId w:val="5"/>
  </w:num>
  <w:num w:numId="23">
    <w:abstractNumId w:val="2"/>
  </w:num>
  <w:num w:numId="24">
    <w:abstractNumId w:val="1"/>
  </w:num>
  <w:num w:numId="25">
    <w:abstractNumId w:val="9"/>
  </w:num>
  <w:num w:numId="26">
    <w:abstractNumId w:val="24"/>
  </w:num>
  <w:num w:numId="27">
    <w:abstractNumId w:val="18"/>
  </w:num>
  <w:num w:numId="28">
    <w:abstractNumId w:val="33"/>
  </w:num>
  <w:num w:numId="29">
    <w:abstractNumId w:val="26"/>
  </w:num>
  <w:num w:numId="30">
    <w:abstractNumId w:val="25"/>
  </w:num>
  <w:num w:numId="31">
    <w:abstractNumId w:val="19"/>
  </w:num>
  <w:num w:numId="32">
    <w:abstractNumId w:val="29"/>
  </w:num>
  <w:num w:numId="33">
    <w:abstractNumId w:val="6"/>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3EBB"/>
    <w:rsid w:val="00015672"/>
    <w:rsid w:val="00033738"/>
    <w:rsid w:val="000546F7"/>
    <w:rsid w:val="00057F8B"/>
    <w:rsid w:val="00064D97"/>
    <w:rsid w:val="00074F1E"/>
    <w:rsid w:val="00080608"/>
    <w:rsid w:val="00084E3E"/>
    <w:rsid w:val="00090985"/>
    <w:rsid w:val="000928B4"/>
    <w:rsid w:val="000B0755"/>
    <w:rsid w:val="000C363B"/>
    <w:rsid w:val="000D3A17"/>
    <w:rsid w:val="000D7A37"/>
    <w:rsid w:val="000E3F4C"/>
    <w:rsid w:val="000E7F7B"/>
    <w:rsid w:val="000F5931"/>
    <w:rsid w:val="0010535C"/>
    <w:rsid w:val="001073D5"/>
    <w:rsid w:val="00120E73"/>
    <w:rsid w:val="00122AEF"/>
    <w:rsid w:val="0013233D"/>
    <w:rsid w:val="00136EE4"/>
    <w:rsid w:val="00140127"/>
    <w:rsid w:val="00140878"/>
    <w:rsid w:val="00145477"/>
    <w:rsid w:val="001455E6"/>
    <w:rsid w:val="00152229"/>
    <w:rsid w:val="00153D32"/>
    <w:rsid w:val="00160440"/>
    <w:rsid w:val="00163DDE"/>
    <w:rsid w:val="00166D7B"/>
    <w:rsid w:val="00166E7A"/>
    <w:rsid w:val="001724C4"/>
    <w:rsid w:val="00176A24"/>
    <w:rsid w:val="00186663"/>
    <w:rsid w:val="001A4DD8"/>
    <w:rsid w:val="001A6093"/>
    <w:rsid w:val="001A732A"/>
    <w:rsid w:val="001A7A9F"/>
    <w:rsid w:val="001B3F63"/>
    <w:rsid w:val="001B68B4"/>
    <w:rsid w:val="001C0D20"/>
    <w:rsid w:val="001C2137"/>
    <w:rsid w:val="001D4899"/>
    <w:rsid w:val="001D530E"/>
    <w:rsid w:val="001F0E1B"/>
    <w:rsid w:val="001F76DF"/>
    <w:rsid w:val="00203321"/>
    <w:rsid w:val="00212CF1"/>
    <w:rsid w:val="00214EB3"/>
    <w:rsid w:val="0023526A"/>
    <w:rsid w:val="00251392"/>
    <w:rsid w:val="00256BB6"/>
    <w:rsid w:val="002631ED"/>
    <w:rsid w:val="002669ED"/>
    <w:rsid w:val="00270DA2"/>
    <w:rsid w:val="002715F6"/>
    <w:rsid w:val="00272ADF"/>
    <w:rsid w:val="00275856"/>
    <w:rsid w:val="00275ABB"/>
    <w:rsid w:val="0028046C"/>
    <w:rsid w:val="0028591E"/>
    <w:rsid w:val="00292EED"/>
    <w:rsid w:val="00297102"/>
    <w:rsid w:val="0029777A"/>
    <w:rsid w:val="002A457D"/>
    <w:rsid w:val="002A7999"/>
    <w:rsid w:val="002A7CE6"/>
    <w:rsid w:val="002C6ABB"/>
    <w:rsid w:val="002D0E63"/>
    <w:rsid w:val="002D4EFB"/>
    <w:rsid w:val="002D7903"/>
    <w:rsid w:val="002E04C8"/>
    <w:rsid w:val="002F0E18"/>
    <w:rsid w:val="002F2408"/>
    <w:rsid w:val="002F47DB"/>
    <w:rsid w:val="00300B35"/>
    <w:rsid w:val="003039BD"/>
    <w:rsid w:val="00304315"/>
    <w:rsid w:val="00317B01"/>
    <w:rsid w:val="00323EED"/>
    <w:rsid w:val="003251BA"/>
    <w:rsid w:val="00326429"/>
    <w:rsid w:val="00333745"/>
    <w:rsid w:val="0034603B"/>
    <w:rsid w:val="00346BC5"/>
    <w:rsid w:val="00353377"/>
    <w:rsid w:val="003540A6"/>
    <w:rsid w:val="003553C1"/>
    <w:rsid w:val="003562E3"/>
    <w:rsid w:val="00363075"/>
    <w:rsid w:val="00363EF4"/>
    <w:rsid w:val="00374686"/>
    <w:rsid w:val="00374A50"/>
    <w:rsid w:val="0038069C"/>
    <w:rsid w:val="003871E6"/>
    <w:rsid w:val="003935FD"/>
    <w:rsid w:val="00393880"/>
    <w:rsid w:val="003A194D"/>
    <w:rsid w:val="003A276D"/>
    <w:rsid w:val="003A4E10"/>
    <w:rsid w:val="003D3C2B"/>
    <w:rsid w:val="003E2817"/>
    <w:rsid w:val="003E4F1E"/>
    <w:rsid w:val="003E5722"/>
    <w:rsid w:val="003F5B5F"/>
    <w:rsid w:val="003F60FC"/>
    <w:rsid w:val="00403ED7"/>
    <w:rsid w:val="00407ED7"/>
    <w:rsid w:val="00415C5C"/>
    <w:rsid w:val="00422985"/>
    <w:rsid w:val="00423681"/>
    <w:rsid w:val="00427AE6"/>
    <w:rsid w:val="004311CE"/>
    <w:rsid w:val="00450ACA"/>
    <w:rsid w:val="00466C3A"/>
    <w:rsid w:val="004817A5"/>
    <w:rsid w:val="004841FB"/>
    <w:rsid w:val="00486051"/>
    <w:rsid w:val="00487270"/>
    <w:rsid w:val="00497A17"/>
    <w:rsid w:val="00497BB5"/>
    <w:rsid w:val="004A7687"/>
    <w:rsid w:val="004A787D"/>
    <w:rsid w:val="004C30F4"/>
    <w:rsid w:val="004D704D"/>
    <w:rsid w:val="004D7076"/>
    <w:rsid w:val="004F11C1"/>
    <w:rsid w:val="004F1A11"/>
    <w:rsid w:val="004F525A"/>
    <w:rsid w:val="005032D5"/>
    <w:rsid w:val="00505702"/>
    <w:rsid w:val="00511E83"/>
    <w:rsid w:val="00511EBF"/>
    <w:rsid w:val="00513CC3"/>
    <w:rsid w:val="00530339"/>
    <w:rsid w:val="005358F2"/>
    <w:rsid w:val="00540956"/>
    <w:rsid w:val="0054103E"/>
    <w:rsid w:val="00552DC8"/>
    <w:rsid w:val="005542B0"/>
    <w:rsid w:val="00561F0E"/>
    <w:rsid w:val="00587BEA"/>
    <w:rsid w:val="00591BE7"/>
    <w:rsid w:val="005955CB"/>
    <w:rsid w:val="005A1ABB"/>
    <w:rsid w:val="005A2D0D"/>
    <w:rsid w:val="005B1459"/>
    <w:rsid w:val="005C0205"/>
    <w:rsid w:val="005C2869"/>
    <w:rsid w:val="005C46C6"/>
    <w:rsid w:val="005C7A1A"/>
    <w:rsid w:val="005D0F80"/>
    <w:rsid w:val="005D6D92"/>
    <w:rsid w:val="005F00A6"/>
    <w:rsid w:val="0060588C"/>
    <w:rsid w:val="00606448"/>
    <w:rsid w:val="00623997"/>
    <w:rsid w:val="00633F6D"/>
    <w:rsid w:val="00636295"/>
    <w:rsid w:val="00654317"/>
    <w:rsid w:val="0065600A"/>
    <w:rsid w:val="00657D23"/>
    <w:rsid w:val="00665583"/>
    <w:rsid w:val="00674A21"/>
    <w:rsid w:val="00682A07"/>
    <w:rsid w:val="00691933"/>
    <w:rsid w:val="006964B4"/>
    <w:rsid w:val="006A5A21"/>
    <w:rsid w:val="006A676B"/>
    <w:rsid w:val="006C2996"/>
    <w:rsid w:val="006C300D"/>
    <w:rsid w:val="006C3770"/>
    <w:rsid w:val="006D00FA"/>
    <w:rsid w:val="006D101C"/>
    <w:rsid w:val="006D43D2"/>
    <w:rsid w:val="006E2E46"/>
    <w:rsid w:val="006E39F2"/>
    <w:rsid w:val="006E3D45"/>
    <w:rsid w:val="006E7153"/>
    <w:rsid w:val="006F4CDE"/>
    <w:rsid w:val="00701240"/>
    <w:rsid w:val="007077B1"/>
    <w:rsid w:val="00710035"/>
    <w:rsid w:val="0071715C"/>
    <w:rsid w:val="00724935"/>
    <w:rsid w:val="0072670F"/>
    <w:rsid w:val="0073186D"/>
    <w:rsid w:val="0073559A"/>
    <w:rsid w:val="007445FF"/>
    <w:rsid w:val="00744956"/>
    <w:rsid w:val="007456E7"/>
    <w:rsid w:val="00751D10"/>
    <w:rsid w:val="00761DDD"/>
    <w:rsid w:val="00770A83"/>
    <w:rsid w:val="00770D56"/>
    <w:rsid w:val="00772207"/>
    <w:rsid w:val="00772B32"/>
    <w:rsid w:val="00773F47"/>
    <w:rsid w:val="00776F55"/>
    <w:rsid w:val="00785861"/>
    <w:rsid w:val="007970AB"/>
    <w:rsid w:val="007A0830"/>
    <w:rsid w:val="007A1E69"/>
    <w:rsid w:val="007B530B"/>
    <w:rsid w:val="007C1BA1"/>
    <w:rsid w:val="007C23DF"/>
    <w:rsid w:val="007C576E"/>
    <w:rsid w:val="007C6023"/>
    <w:rsid w:val="007C7380"/>
    <w:rsid w:val="007D0C43"/>
    <w:rsid w:val="007F0D43"/>
    <w:rsid w:val="00801C86"/>
    <w:rsid w:val="008046C6"/>
    <w:rsid w:val="00810613"/>
    <w:rsid w:val="008119D7"/>
    <w:rsid w:val="00825946"/>
    <w:rsid w:val="00831AA9"/>
    <w:rsid w:val="00837023"/>
    <w:rsid w:val="00843499"/>
    <w:rsid w:val="00844C61"/>
    <w:rsid w:val="00845079"/>
    <w:rsid w:val="00854F8A"/>
    <w:rsid w:val="008552BF"/>
    <w:rsid w:val="00856F68"/>
    <w:rsid w:val="00864E23"/>
    <w:rsid w:val="00867D93"/>
    <w:rsid w:val="00870251"/>
    <w:rsid w:val="0088454B"/>
    <w:rsid w:val="00890233"/>
    <w:rsid w:val="00894D18"/>
    <w:rsid w:val="008A3225"/>
    <w:rsid w:val="008A32E6"/>
    <w:rsid w:val="008A3FF6"/>
    <w:rsid w:val="008B696A"/>
    <w:rsid w:val="008B75F2"/>
    <w:rsid w:val="008C0658"/>
    <w:rsid w:val="008C175D"/>
    <w:rsid w:val="008C1902"/>
    <w:rsid w:val="008D0F99"/>
    <w:rsid w:val="008D604E"/>
    <w:rsid w:val="008F4D27"/>
    <w:rsid w:val="008F5919"/>
    <w:rsid w:val="00902639"/>
    <w:rsid w:val="00915A9A"/>
    <w:rsid w:val="00921BA2"/>
    <w:rsid w:val="0092314E"/>
    <w:rsid w:val="0092467C"/>
    <w:rsid w:val="00926851"/>
    <w:rsid w:val="009278C6"/>
    <w:rsid w:val="00934FB3"/>
    <w:rsid w:val="00937535"/>
    <w:rsid w:val="00941D3D"/>
    <w:rsid w:val="0096505F"/>
    <w:rsid w:val="009659E4"/>
    <w:rsid w:val="0097486D"/>
    <w:rsid w:val="00977C0A"/>
    <w:rsid w:val="00987F1A"/>
    <w:rsid w:val="009B064A"/>
    <w:rsid w:val="009B0904"/>
    <w:rsid w:val="009B6AAE"/>
    <w:rsid w:val="009C14E0"/>
    <w:rsid w:val="009C48C6"/>
    <w:rsid w:val="009D5D38"/>
    <w:rsid w:val="009E0A27"/>
    <w:rsid w:val="009E304A"/>
    <w:rsid w:val="009E705B"/>
    <w:rsid w:val="00A0614E"/>
    <w:rsid w:val="00A17AD9"/>
    <w:rsid w:val="00A23BAA"/>
    <w:rsid w:val="00A25067"/>
    <w:rsid w:val="00A34B1A"/>
    <w:rsid w:val="00A36D61"/>
    <w:rsid w:val="00A47A9F"/>
    <w:rsid w:val="00A64E12"/>
    <w:rsid w:val="00A70640"/>
    <w:rsid w:val="00A70747"/>
    <w:rsid w:val="00A7112F"/>
    <w:rsid w:val="00A72679"/>
    <w:rsid w:val="00A73DA4"/>
    <w:rsid w:val="00A768D6"/>
    <w:rsid w:val="00A777C8"/>
    <w:rsid w:val="00A81F2C"/>
    <w:rsid w:val="00A94A1C"/>
    <w:rsid w:val="00AA3290"/>
    <w:rsid w:val="00AA586A"/>
    <w:rsid w:val="00AB262D"/>
    <w:rsid w:val="00AB6ED5"/>
    <w:rsid w:val="00AC5C16"/>
    <w:rsid w:val="00AC7245"/>
    <w:rsid w:val="00AE2CFC"/>
    <w:rsid w:val="00AE4629"/>
    <w:rsid w:val="00B16646"/>
    <w:rsid w:val="00B176F9"/>
    <w:rsid w:val="00B367F7"/>
    <w:rsid w:val="00B40740"/>
    <w:rsid w:val="00B433D6"/>
    <w:rsid w:val="00B439CD"/>
    <w:rsid w:val="00B6277C"/>
    <w:rsid w:val="00B65A2C"/>
    <w:rsid w:val="00B776FF"/>
    <w:rsid w:val="00B77A02"/>
    <w:rsid w:val="00BA299C"/>
    <w:rsid w:val="00BB4179"/>
    <w:rsid w:val="00BD0CCB"/>
    <w:rsid w:val="00BD1044"/>
    <w:rsid w:val="00BD19EB"/>
    <w:rsid w:val="00BE7381"/>
    <w:rsid w:val="00BF2C65"/>
    <w:rsid w:val="00BF7A58"/>
    <w:rsid w:val="00C1749D"/>
    <w:rsid w:val="00C21E28"/>
    <w:rsid w:val="00C31F47"/>
    <w:rsid w:val="00C33486"/>
    <w:rsid w:val="00C3613B"/>
    <w:rsid w:val="00C40FA2"/>
    <w:rsid w:val="00C57245"/>
    <w:rsid w:val="00C572BC"/>
    <w:rsid w:val="00C6347B"/>
    <w:rsid w:val="00C6532F"/>
    <w:rsid w:val="00C75EFF"/>
    <w:rsid w:val="00C76976"/>
    <w:rsid w:val="00C8483B"/>
    <w:rsid w:val="00C85807"/>
    <w:rsid w:val="00C8735A"/>
    <w:rsid w:val="00C92EB9"/>
    <w:rsid w:val="00C93CD2"/>
    <w:rsid w:val="00C94E75"/>
    <w:rsid w:val="00C97F20"/>
    <w:rsid w:val="00CB2678"/>
    <w:rsid w:val="00CB31FC"/>
    <w:rsid w:val="00CB4111"/>
    <w:rsid w:val="00CC3560"/>
    <w:rsid w:val="00CF13BB"/>
    <w:rsid w:val="00CF1CE7"/>
    <w:rsid w:val="00CF2530"/>
    <w:rsid w:val="00CF35BF"/>
    <w:rsid w:val="00CF506D"/>
    <w:rsid w:val="00D00023"/>
    <w:rsid w:val="00D00FAE"/>
    <w:rsid w:val="00D058F2"/>
    <w:rsid w:val="00D10E1F"/>
    <w:rsid w:val="00D1653A"/>
    <w:rsid w:val="00D22094"/>
    <w:rsid w:val="00D2391B"/>
    <w:rsid w:val="00D319C9"/>
    <w:rsid w:val="00D4003A"/>
    <w:rsid w:val="00D50FCF"/>
    <w:rsid w:val="00D7319C"/>
    <w:rsid w:val="00D80971"/>
    <w:rsid w:val="00D866DF"/>
    <w:rsid w:val="00D8775E"/>
    <w:rsid w:val="00D933C7"/>
    <w:rsid w:val="00DA743F"/>
    <w:rsid w:val="00DB162D"/>
    <w:rsid w:val="00DC0646"/>
    <w:rsid w:val="00DC50D4"/>
    <w:rsid w:val="00DC598C"/>
    <w:rsid w:val="00DE499F"/>
    <w:rsid w:val="00DE6FAF"/>
    <w:rsid w:val="00DF41D4"/>
    <w:rsid w:val="00E00354"/>
    <w:rsid w:val="00E041FD"/>
    <w:rsid w:val="00E04449"/>
    <w:rsid w:val="00E376BD"/>
    <w:rsid w:val="00E458B8"/>
    <w:rsid w:val="00E4755A"/>
    <w:rsid w:val="00E57A6E"/>
    <w:rsid w:val="00E648A5"/>
    <w:rsid w:val="00E71B26"/>
    <w:rsid w:val="00E72B50"/>
    <w:rsid w:val="00E72B51"/>
    <w:rsid w:val="00E76A44"/>
    <w:rsid w:val="00E951DD"/>
    <w:rsid w:val="00EA573B"/>
    <w:rsid w:val="00EB2EFF"/>
    <w:rsid w:val="00EB383D"/>
    <w:rsid w:val="00EB45FA"/>
    <w:rsid w:val="00EC3037"/>
    <w:rsid w:val="00EE08B7"/>
    <w:rsid w:val="00EE410D"/>
    <w:rsid w:val="00EE6181"/>
    <w:rsid w:val="00F11804"/>
    <w:rsid w:val="00F150B1"/>
    <w:rsid w:val="00F16756"/>
    <w:rsid w:val="00F30453"/>
    <w:rsid w:val="00F34CDA"/>
    <w:rsid w:val="00F4138C"/>
    <w:rsid w:val="00F54C43"/>
    <w:rsid w:val="00F65146"/>
    <w:rsid w:val="00F6771E"/>
    <w:rsid w:val="00F7359A"/>
    <w:rsid w:val="00F74932"/>
    <w:rsid w:val="00F95115"/>
    <w:rsid w:val="00FA3015"/>
    <w:rsid w:val="00FA37D5"/>
    <w:rsid w:val="00FB0912"/>
    <w:rsid w:val="00FB6A32"/>
    <w:rsid w:val="00FC5E63"/>
    <w:rsid w:val="00FC686E"/>
    <w:rsid w:val="00FD4CCA"/>
    <w:rsid w:val="00FE342C"/>
    <w:rsid w:val="00FE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EE18D6C"/>
  <w15:docId w15:val="{CA0251BD-C466-4C66-B3C6-63910149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A1"/>
    <w:pPr>
      <w:spacing w:after="240"/>
    </w:pPr>
    <w:rPr>
      <w:rFonts w:ascii="Arial" w:eastAsia="Times New Roman" w:hAnsi="Arial"/>
      <w:sz w:val="24"/>
      <w:lang w:val="en-US"/>
    </w:rPr>
  </w:style>
  <w:style w:type="paragraph" w:styleId="Heading1">
    <w:name w:val="heading 1"/>
    <w:basedOn w:val="Normal"/>
    <w:next w:val="Normal"/>
    <w:link w:val="Heading1Char"/>
    <w:uiPriority w:val="9"/>
    <w:qFormat/>
    <w:rsid w:val="007C1BA1"/>
    <w:pPr>
      <w:keepNext/>
      <w:keepLines/>
      <w:spacing w:after="0"/>
      <w:outlineLvl w:val="0"/>
    </w:pPr>
    <w:rPr>
      <w:rFonts w:eastAsia="MS Gothic"/>
      <w:b/>
      <w:bCs/>
      <w:color w:val="000000"/>
      <w:sz w:val="30"/>
      <w:szCs w:val="32"/>
    </w:rPr>
  </w:style>
  <w:style w:type="paragraph" w:styleId="Heading2">
    <w:name w:val="heading 2"/>
    <w:next w:val="Normal"/>
    <w:link w:val="Heading2Char"/>
    <w:qFormat/>
    <w:rsid w:val="007C1BA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203321"/>
    <w:pPr>
      <w:keepNext/>
      <w:keepLines/>
      <w:spacing w:after="0"/>
      <w:ind w:left="720"/>
      <w:outlineLvl w:val="2"/>
    </w:pPr>
    <w:rPr>
      <w:rFonts w:eastAsia="MS Gothic"/>
      <w:bCs/>
      <w:color w:val="000000"/>
      <w:u w:val="single"/>
    </w:rPr>
  </w:style>
  <w:style w:type="paragraph" w:styleId="Heading4">
    <w:name w:val="heading 4"/>
    <w:basedOn w:val="Normal"/>
    <w:next w:val="Normal"/>
    <w:link w:val="Heading4Char"/>
    <w:uiPriority w:val="9"/>
    <w:semiHidden/>
    <w:unhideWhenUsed/>
    <w:qFormat/>
    <w:rsid w:val="006A5A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C1BA1"/>
    <w:rPr>
      <w:rFonts w:ascii="Arial" w:eastAsia="Times New Roman" w:hAnsi="Arial"/>
      <w:b/>
      <w:bCs/>
      <w:sz w:val="24"/>
      <w:lang w:val="en-GB"/>
    </w:rPr>
  </w:style>
  <w:style w:type="character" w:styleId="Hyperlink">
    <w:name w:val="Hyperlink"/>
    <w:uiPriority w:val="99"/>
    <w:rsid w:val="00854F8A"/>
    <w:rPr>
      <w:color w:val="0000FF"/>
      <w:u w:val="single"/>
    </w:rPr>
  </w:style>
  <w:style w:type="table" w:styleId="TableGrid">
    <w:name w:val="Table Grid"/>
    <w:basedOn w:val="TableNormal"/>
    <w:uiPriority w:val="5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7C1BA1"/>
    <w:pPr>
      <w:spacing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203321"/>
    <w:rPr>
      <w:rFonts w:ascii="Arial" w:eastAsia="MS Gothic" w:hAnsi="Arial"/>
      <w:bCs/>
      <w:color w:val="000000"/>
      <w:sz w:val="24"/>
      <w:u w:val="single"/>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sz w:val="22"/>
      <w:szCs w:val="22"/>
    </w:rPr>
  </w:style>
  <w:style w:type="paragraph" w:styleId="TOC4">
    <w:name w:val="toc 4"/>
    <w:basedOn w:val="Normal"/>
    <w:next w:val="Normal"/>
    <w:autoRedefine/>
    <w:uiPriority w:val="39"/>
    <w:unhideWhenUsed/>
    <w:rsid w:val="008C0658"/>
    <w:pPr>
      <w:ind w:left="720"/>
    </w:pPr>
    <w:rPr>
      <w:rFonts w:asciiTheme="minorHAnsi" w:hAnsiTheme="minorHAnsi"/>
      <w:b/>
      <w:sz w:val="20"/>
    </w:rPr>
  </w:style>
  <w:style w:type="paragraph" w:styleId="TOC5">
    <w:name w:val="toc 5"/>
    <w:basedOn w:val="Normal"/>
    <w:next w:val="Normal"/>
    <w:autoRedefine/>
    <w:uiPriority w:val="39"/>
    <w:unhideWhenUsed/>
    <w:rsid w:val="008C0658"/>
    <w:pPr>
      <w:ind w:left="960"/>
    </w:pPr>
    <w:rPr>
      <w:rFonts w:asciiTheme="minorHAnsi" w:hAnsiTheme="minorHAnsi"/>
      <w:b/>
      <w:sz w:val="20"/>
    </w:rPr>
  </w:style>
  <w:style w:type="paragraph" w:styleId="TOC6">
    <w:name w:val="toc 6"/>
    <w:basedOn w:val="Normal"/>
    <w:next w:val="Normal"/>
    <w:autoRedefine/>
    <w:uiPriority w:val="39"/>
    <w:unhideWhenUsed/>
    <w:rsid w:val="008C0658"/>
    <w:pPr>
      <w:ind w:left="1200"/>
    </w:pPr>
    <w:rPr>
      <w:rFonts w:asciiTheme="minorHAnsi" w:hAnsiTheme="minorHAnsi"/>
      <w:b/>
      <w:sz w:val="20"/>
    </w:rPr>
  </w:style>
  <w:style w:type="paragraph" w:styleId="TOC7">
    <w:name w:val="toc 7"/>
    <w:basedOn w:val="Normal"/>
    <w:next w:val="Normal"/>
    <w:autoRedefine/>
    <w:uiPriority w:val="39"/>
    <w:unhideWhenUsed/>
    <w:rsid w:val="008C0658"/>
    <w:pPr>
      <w:ind w:left="1440"/>
    </w:pPr>
    <w:rPr>
      <w:rFonts w:asciiTheme="minorHAnsi" w:hAnsiTheme="minorHAnsi"/>
      <w:b/>
      <w:sz w:val="20"/>
    </w:rPr>
  </w:style>
  <w:style w:type="paragraph" w:styleId="TOC8">
    <w:name w:val="toc 8"/>
    <w:basedOn w:val="Normal"/>
    <w:next w:val="Normal"/>
    <w:autoRedefine/>
    <w:uiPriority w:val="39"/>
    <w:unhideWhenUsed/>
    <w:rsid w:val="008C0658"/>
    <w:pPr>
      <w:ind w:left="1680"/>
    </w:pPr>
    <w:rPr>
      <w:rFonts w:asciiTheme="minorHAnsi" w:hAnsiTheme="minorHAnsi"/>
      <w:b/>
      <w:sz w:val="20"/>
    </w:rPr>
  </w:style>
  <w:style w:type="paragraph" w:styleId="TOC9">
    <w:name w:val="toc 9"/>
    <w:basedOn w:val="Normal"/>
    <w:next w:val="Normal"/>
    <w:autoRedefine/>
    <w:uiPriority w:val="39"/>
    <w:unhideWhenUsed/>
    <w:rsid w:val="008C0658"/>
    <w:pPr>
      <w:ind w:left="1920"/>
    </w:pPr>
    <w:rPr>
      <w:rFonts w:asciiTheme="minorHAnsi" w:hAnsiTheme="minorHAnsi"/>
      <w:b/>
      <w:sz w:val="20"/>
    </w:rPr>
  </w:style>
  <w:style w:type="character" w:customStyle="1" w:styleId="Heading1Char">
    <w:name w:val="Heading 1 Char"/>
    <w:link w:val="Heading1"/>
    <w:uiPriority w:val="9"/>
    <w:rsid w:val="007C1BA1"/>
    <w:rPr>
      <w:rFonts w:ascii="Arial" w:eastAsia="MS Gothic" w:hAnsi="Arial"/>
      <w:b/>
      <w:bCs/>
      <w:color w:val="000000"/>
      <w:sz w:val="30"/>
      <w:szCs w:val="32"/>
      <w:lang w:val="en-US"/>
    </w:rPr>
  </w:style>
  <w:style w:type="character" w:styleId="Emphasis">
    <w:name w:val="Emphasis"/>
    <w:uiPriority w:val="20"/>
    <w:qFormat/>
    <w:rsid w:val="0088454B"/>
    <w:rPr>
      <w:i/>
      <w:iCs/>
    </w:rPr>
  </w:style>
  <w:style w:type="character" w:styleId="CommentReference">
    <w:name w:val="annotation reference"/>
    <w:basedOn w:val="DefaultParagraphFont"/>
    <w:uiPriority w:val="99"/>
    <w:semiHidden/>
    <w:unhideWhenUsed/>
    <w:rsid w:val="00513CC3"/>
    <w:rPr>
      <w:sz w:val="16"/>
      <w:szCs w:val="16"/>
    </w:rPr>
  </w:style>
  <w:style w:type="paragraph" w:styleId="CommentText">
    <w:name w:val="annotation text"/>
    <w:basedOn w:val="Normal"/>
    <w:link w:val="CommentTextChar"/>
    <w:uiPriority w:val="99"/>
    <w:semiHidden/>
    <w:unhideWhenUsed/>
    <w:rsid w:val="00513CC3"/>
    <w:rPr>
      <w:sz w:val="20"/>
    </w:rPr>
  </w:style>
  <w:style w:type="character" w:customStyle="1" w:styleId="CommentTextChar">
    <w:name w:val="Comment Text Char"/>
    <w:basedOn w:val="DefaultParagraphFont"/>
    <w:link w:val="CommentText"/>
    <w:uiPriority w:val="99"/>
    <w:semiHidden/>
    <w:rsid w:val="00513CC3"/>
    <w:rPr>
      <w:rFonts w:ascii="Arial" w:eastAsia="Times New Roman" w:hAnsi="Arial"/>
      <w:b/>
      <w:lang w:val="en-US"/>
    </w:rPr>
  </w:style>
  <w:style w:type="paragraph" w:styleId="CommentSubject">
    <w:name w:val="annotation subject"/>
    <w:basedOn w:val="CommentText"/>
    <w:next w:val="CommentText"/>
    <w:link w:val="CommentSubjectChar"/>
    <w:uiPriority w:val="99"/>
    <w:semiHidden/>
    <w:unhideWhenUsed/>
    <w:rsid w:val="00513CC3"/>
    <w:rPr>
      <w:bCs/>
    </w:rPr>
  </w:style>
  <w:style w:type="character" w:customStyle="1" w:styleId="CommentSubjectChar">
    <w:name w:val="Comment Subject Char"/>
    <w:basedOn w:val="CommentTextChar"/>
    <w:link w:val="CommentSubject"/>
    <w:uiPriority w:val="99"/>
    <w:semiHidden/>
    <w:rsid w:val="00513CC3"/>
    <w:rPr>
      <w:rFonts w:ascii="Arial" w:eastAsia="Times New Roman" w:hAnsi="Arial"/>
      <w:b/>
      <w:bCs/>
      <w:lang w:val="en-US"/>
    </w:rPr>
  </w:style>
  <w:style w:type="character" w:styleId="FollowedHyperlink">
    <w:name w:val="FollowedHyperlink"/>
    <w:basedOn w:val="DefaultParagraphFont"/>
    <w:uiPriority w:val="99"/>
    <w:semiHidden/>
    <w:unhideWhenUsed/>
    <w:rsid w:val="00D058F2"/>
    <w:rPr>
      <w:color w:val="800080" w:themeColor="followedHyperlink"/>
      <w:u w:val="single"/>
    </w:rPr>
  </w:style>
  <w:style w:type="character" w:customStyle="1" w:styleId="Heading4Char">
    <w:name w:val="Heading 4 Char"/>
    <w:basedOn w:val="DefaultParagraphFont"/>
    <w:link w:val="Heading4"/>
    <w:uiPriority w:val="9"/>
    <w:semiHidden/>
    <w:rsid w:val="006A5A21"/>
    <w:rPr>
      <w:rFonts w:asciiTheme="majorHAnsi" w:eastAsiaTheme="majorEastAsia" w:hAnsiTheme="majorHAnsi" w:cstheme="majorBidi"/>
      <w:bCs/>
      <w:i/>
      <w:iCs/>
      <w:color w:val="4F81BD" w:themeColor="accent1"/>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oryofchange.org/wp-content/uploads/toco_library/pdf/ToCFacilitatorSourcebook.pdf" TargetMode="External"/><Relationship Id="rId18" Type="http://schemas.openxmlformats.org/officeDocument/2006/relationships/hyperlink" Target="http://www.artofhosting.org/wp-content/uploads/2012/10/Hostinginahurryversion1.5ChrisC.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ocialsciences.mcmaster.ca/current-students/riso" TargetMode="External"/><Relationship Id="rId17" Type="http://schemas.openxmlformats.org/officeDocument/2006/relationships/hyperlink" Target="http://homelesshub.ca/resource/managing-outcomes-guide-homelessness-organizations" TargetMode="External"/><Relationship Id="rId2" Type="http://schemas.openxmlformats.org/officeDocument/2006/relationships/numbering" Target="numbering.xml"/><Relationship Id="rId16" Type="http://schemas.openxmlformats.org/officeDocument/2006/relationships/hyperlink" Target="https://www.aidsalliance.org/assets/000/000/370/229-Tools-together-now_original.pdf?1405520036" TargetMode="External"/><Relationship Id="rId20" Type="http://schemas.openxmlformats.org/officeDocument/2006/relationships/hyperlink" Target="http://www.alnap.org/resource/810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Accommodation-StudentsWithDisabilities.pdf" TargetMode="External"/><Relationship Id="rId5" Type="http://schemas.openxmlformats.org/officeDocument/2006/relationships/webSettings" Target="webSettings.xml"/><Relationship Id="rId15" Type="http://schemas.openxmlformats.org/officeDocument/2006/relationships/hyperlink" Target="https://mcconnellfoundation.ca/report/a-developmental-evaluation-primer/" TargetMode="External"/><Relationship Id="rId23" Type="http://schemas.openxmlformats.org/officeDocument/2006/relationships/theme" Target="theme/theme1.xml"/><Relationship Id="rId10" Type="http://schemas.openxmlformats.org/officeDocument/2006/relationships/hyperlink" Target="mailto:sas@mcmaster.ca" TargetMode="External"/><Relationship Id="rId19" Type="http://schemas.openxmlformats.org/officeDocument/2006/relationships/hyperlink" Target="https://www.aidsalliance.org/assets/000/000/370/229-Tools-together-now_original.pdf?140552003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homelesshub.ca/resource/managing-outcomes-guide-homelessness-organization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67B23-9BA5-401D-A259-77EB33A2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49</TotalTime>
  <Pages>12</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26687</CharactersWithSpaces>
  <SharedDoc>false</SharedDoc>
  <HyperlinkBase/>
  <HLinks>
    <vt:vector size="12" baseType="variant">
      <vt:variant>
        <vt:i4>196668</vt:i4>
      </vt:variant>
      <vt:variant>
        <vt:i4>78</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75</vt:i4>
      </vt:variant>
      <vt:variant>
        <vt:i4>0</vt:i4>
      </vt:variant>
      <vt:variant>
        <vt:i4>5</vt:i4>
      </vt:variant>
      <vt:variant>
        <vt:lpwstr>mailto:sas@mcmaster.ca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User</cp:lastModifiedBy>
  <cp:revision>16</cp:revision>
  <cp:lastPrinted>2018-04-10T13:32:00Z</cp:lastPrinted>
  <dcterms:created xsi:type="dcterms:W3CDTF">2019-04-15T20:13:00Z</dcterms:created>
  <dcterms:modified xsi:type="dcterms:W3CDTF">2019-04-22T17:41:00Z</dcterms:modified>
  <cp:category>Communications</cp:category>
</cp:coreProperties>
</file>