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3E6E7506" w14:textId="77777777" w:rsidR="00EC210E" w:rsidRDefault="00EC210E" w:rsidP="00EC210E">
      <w:pPr>
        <w:pStyle w:val="Default"/>
        <w:rPr>
          <w:rFonts w:ascii="Arial" w:hAnsi="Arial" w:cs="Arial"/>
          <w:b/>
          <w:sz w:val="23"/>
          <w:szCs w:val="23"/>
        </w:rPr>
      </w:pPr>
    </w:p>
    <w:p w14:paraId="2E8C406C" w14:textId="77777777" w:rsidR="00EC210E" w:rsidRDefault="00A324BD" w:rsidP="00EC210E">
      <w:pPr>
        <w:pStyle w:val="Default"/>
        <w:rPr>
          <w:rFonts w:ascii="Arial" w:hAnsi="Arial" w:cs="Arial"/>
          <w:b/>
        </w:rPr>
      </w:pPr>
      <w:r>
        <w:object w:dxaOrig="1440" w:dyaOrig="1440" w14:anchorId="3AB3AB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45pt;margin-top:2.4pt;width:34.45pt;height:45pt;z-index:251658240" o:allowincell="f">
            <v:imagedata r:id="rId6" o:title=""/>
            <w10:wrap type="square"/>
          </v:shape>
          <o:OLEObject Type="Embed" ProgID="MSPhotoEd.3" ShapeID="_x0000_s1026" DrawAspect="Content" ObjectID="_1576924516" r:id="rId7"/>
        </w:object>
      </w:r>
      <w:r w:rsidR="00EC210E">
        <w:rPr>
          <w:rFonts w:ascii="Arial" w:hAnsi="Arial" w:cs="Arial"/>
          <w:b/>
        </w:rPr>
        <w:t>McMaster University School of Social Work</w:t>
      </w:r>
    </w:p>
    <w:p w14:paraId="55902F86" w14:textId="77777777" w:rsidR="00EC210E" w:rsidRDefault="00EC210E" w:rsidP="00EC210E">
      <w:pPr>
        <w:pStyle w:val="Default"/>
        <w:rPr>
          <w:rFonts w:ascii="Arial" w:hAnsi="Arial" w:cs="Arial"/>
          <w:b/>
        </w:rPr>
      </w:pPr>
      <w:r>
        <w:rPr>
          <w:rFonts w:ascii="Arial" w:hAnsi="Arial" w:cs="Arial"/>
          <w:b/>
        </w:rPr>
        <w:t>SocSci 701: Critical Approaches to Community Based Research</w:t>
      </w:r>
    </w:p>
    <w:p w14:paraId="177BFBAD" w14:textId="448C511D" w:rsidR="00EC210E" w:rsidRDefault="00EC210E" w:rsidP="00EC210E">
      <w:pPr>
        <w:pStyle w:val="Default"/>
        <w:rPr>
          <w:rFonts w:ascii="Arial" w:hAnsi="Arial" w:cs="Arial"/>
        </w:rPr>
      </w:pPr>
      <w:r>
        <w:rPr>
          <w:rFonts w:ascii="Arial" w:hAnsi="Arial" w:cs="Arial"/>
        </w:rPr>
        <w:t>Mo</w:t>
      </w:r>
      <w:r w:rsidR="00A9796C">
        <w:rPr>
          <w:rFonts w:ascii="Arial" w:hAnsi="Arial" w:cs="Arial"/>
        </w:rPr>
        <w:t>ndays, January 8 – April 8</w:t>
      </w:r>
      <w:r w:rsidR="00F21390">
        <w:rPr>
          <w:rFonts w:ascii="Arial" w:hAnsi="Arial" w:cs="Arial"/>
        </w:rPr>
        <w:t>, 1:30pm – 4:30pm</w:t>
      </w:r>
    </w:p>
    <w:p w14:paraId="0A72E714" w14:textId="6502B6AD" w:rsidR="00EC210E" w:rsidRDefault="00A9796C" w:rsidP="00EC210E">
      <w:pPr>
        <w:pStyle w:val="Default"/>
        <w:rPr>
          <w:rFonts w:ascii="Arial" w:hAnsi="Arial" w:cs="Arial"/>
        </w:rPr>
      </w:pPr>
      <w:r>
        <w:rPr>
          <w:rFonts w:ascii="Arial" w:hAnsi="Arial" w:cs="Arial"/>
        </w:rPr>
        <w:t xml:space="preserve">Classroom: </w:t>
      </w:r>
      <w:r w:rsidR="00B05F28">
        <w:rPr>
          <w:rFonts w:ascii="Arial" w:hAnsi="Arial" w:cs="Arial"/>
        </w:rPr>
        <w:t>LRW 1013</w:t>
      </w:r>
    </w:p>
    <w:p w14:paraId="7517ABD3" w14:textId="77777777" w:rsidR="00EC210E" w:rsidRDefault="00EC210E" w:rsidP="00EC210E">
      <w:pPr>
        <w:pStyle w:val="Default"/>
        <w:ind w:left="720"/>
        <w:rPr>
          <w:rFonts w:ascii="Arial" w:hAnsi="Arial" w:cs="Arial"/>
        </w:rPr>
      </w:pPr>
      <w:r>
        <w:rPr>
          <w:rFonts w:ascii="Arial" w:hAnsi="Arial" w:cs="Arial"/>
        </w:rPr>
        <w:t xml:space="preserve">   Instructor: Saara Greene</w:t>
      </w:r>
      <w:r>
        <w:rPr>
          <w:rFonts w:ascii="Arial" w:hAnsi="Arial" w:cs="Arial"/>
        </w:rPr>
        <w:tab/>
      </w:r>
      <w:r>
        <w:rPr>
          <w:rFonts w:ascii="Arial" w:hAnsi="Arial" w:cs="Arial"/>
        </w:rPr>
        <w:tab/>
      </w:r>
      <w:r>
        <w:rPr>
          <w:rFonts w:ascii="Arial" w:hAnsi="Arial" w:cs="Arial"/>
        </w:rPr>
        <w:tab/>
      </w:r>
      <w:r>
        <w:rPr>
          <w:rFonts w:ascii="Arial" w:hAnsi="Arial" w:cs="Arial"/>
        </w:rPr>
        <w:tab/>
      </w:r>
    </w:p>
    <w:p w14:paraId="2827BB62" w14:textId="77777777" w:rsidR="00EC210E" w:rsidRDefault="00EC210E" w:rsidP="00EC210E">
      <w:pPr>
        <w:pStyle w:val="Default"/>
        <w:ind w:left="720"/>
        <w:rPr>
          <w:rFonts w:ascii="Arial" w:hAnsi="Arial" w:cs="Arial"/>
        </w:rPr>
      </w:pPr>
      <w:r>
        <w:rPr>
          <w:rFonts w:ascii="Arial" w:hAnsi="Arial" w:cs="Arial"/>
        </w:rPr>
        <w:t xml:space="preserve">   Office: KTH 327</w:t>
      </w:r>
    </w:p>
    <w:p w14:paraId="174C70A7" w14:textId="77777777" w:rsidR="00EC210E" w:rsidRDefault="00EC210E" w:rsidP="00EC210E">
      <w:pPr>
        <w:pStyle w:val="Default"/>
        <w:ind w:left="720"/>
        <w:rPr>
          <w:rFonts w:ascii="Arial" w:hAnsi="Arial" w:cs="Arial"/>
        </w:rPr>
      </w:pPr>
      <w:r>
        <w:rPr>
          <w:rFonts w:ascii="Arial" w:hAnsi="Arial" w:cs="Arial"/>
        </w:rPr>
        <w:t xml:space="preserve">   Office hours:  by appointment</w:t>
      </w:r>
    </w:p>
    <w:p w14:paraId="6A8A662C" w14:textId="77777777" w:rsidR="00EC210E" w:rsidRDefault="00EC210E" w:rsidP="00EC210E">
      <w:pPr>
        <w:pStyle w:val="Default"/>
        <w:ind w:left="720"/>
        <w:rPr>
          <w:rFonts w:ascii="Arial" w:hAnsi="Arial" w:cs="Arial"/>
        </w:rPr>
      </w:pPr>
      <w:r>
        <w:rPr>
          <w:rFonts w:ascii="Arial" w:hAnsi="Arial" w:cs="Arial"/>
        </w:rPr>
        <w:t xml:space="preserve">   Email: greenes@mcmaster.ca</w:t>
      </w:r>
    </w:p>
    <w:p w14:paraId="5A7E85F7" w14:textId="77777777" w:rsidR="00EC210E" w:rsidRDefault="00EC210E" w:rsidP="00EC210E">
      <w:pPr>
        <w:pStyle w:val="Default"/>
        <w:ind w:firstLine="720"/>
        <w:rPr>
          <w:rFonts w:ascii="Arial" w:hAnsi="Arial" w:cs="Arial"/>
        </w:rPr>
      </w:pPr>
      <w:r>
        <w:rPr>
          <w:rFonts w:ascii="Arial" w:hAnsi="Arial" w:cs="Arial"/>
        </w:rPr>
        <w:t xml:space="preserve">   Phone: 905-525-9140 ext. 23782</w:t>
      </w:r>
      <w:r>
        <w:rPr>
          <w:rFonts w:ascii="Arial" w:hAnsi="Arial" w:cs="Arial"/>
        </w:rPr>
        <w:tab/>
      </w:r>
    </w:p>
    <w:p w14:paraId="42E648B8" w14:textId="77777777" w:rsidR="00EC210E" w:rsidRDefault="00EC210E" w:rsidP="00EC210E">
      <w:pPr>
        <w:pStyle w:val="Heading2"/>
        <w:rPr>
          <w:rFonts w:cs="Arial"/>
          <w:b w:val="0"/>
        </w:rPr>
      </w:pPr>
    </w:p>
    <w:p w14:paraId="17809B94" w14:textId="77777777" w:rsidR="00EC210E" w:rsidRDefault="00EC210E" w:rsidP="00EC210E">
      <w:pPr>
        <w:rPr>
          <w:lang w:val="en-GB"/>
        </w:rPr>
      </w:pPr>
    </w:p>
    <w:p w14:paraId="3BDD4359" w14:textId="77777777" w:rsidR="00EC210E" w:rsidRDefault="00EC210E" w:rsidP="00EC210E">
      <w:pPr>
        <w:jc w:val="center"/>
        <w:rPr>
          <w:lang w:val="en-GB"/>
        </w:rPr>
      </w:pPr>
      <w:r>
        <w:rPr>
          <w:lang w:val="en-GB"/>
        </w:rPr>
        <w:t>Table of Contents</w:t>
      </w:r>
    </w:p>
    <w:p w14:paraId="326D8B38" w14:textId="77777777" w:rsidR="00EC210E" w:rsidRDefault="00EC210E" w:rsidP="00EC210E">
      <w:pPr>
        <w:rPr>
          <w:lang w:val="en-GB"/>
        </w:rPr>
      </w:pPr>
    </w:p>
    <w:p w14:paraId="1C384E8B" w14:textId="605EC971" w:rsidR="00D57E4F" w:rsidRDefault="00EC210E">
      <w:pPr>
        <w:pStyle w:val="TOC1"/>
        <w:tabs>
          <w:tab w:val="right" w:leader="dot" w:pos="9350"/>
        </w:tabs>
        <w:rPr>
          <w:rFonts w:eastAsiaTheme="minorEastAsia" w:cstheme="minorBidi"/>
          <w:b w:val="0"/>
          <w:noProof/>
          <w:sz w:val="22"/>
          <w:szCs w:val="22"/>
        </w:rPr>
      </w:pPr>
      <w:r>
        <w:rPr>
          <w:rFonts w:cs="Arial"/>
          <w:b w:val="0"/>
          <w:bCs/>
        </w:rPr>
        <w:fldChar w:fldCharType="begin"/>
      </w:r>
      <w:r>
        <w:rPr>
          <w:rFonts w:cs="Arial"/>
          <w:b w:val="0"/>
          <w:bCs/>
        </w:rPr>
        <w:instrText xml:space="preserve"> TOC \o "1-3" </w:instrText>
      </w:r>
      <w:r>
        <w:rPr>
          <w:rFonts w:cs="Arial"/>
          <w:b w:val="0"/>
          <w:bCs/>
        </w:rPr>
        <w:fldChar w:fldCharType="separate"/>
      </w:r>
      <w:r w:rsidR="00D57E4F">
        <w:rPr>
          <w:noProof/>
        </w:rPr>
        <w:t>Social Science 701:</w:t>
      </w:r>
      <w:r w:rsidR="00D57E4F">
        <w:rPr>
          <w:noProof/>
        </w:rPr>
        <w:tab/>
      </w:r>
      <w:r w:rsidR="00D57E4F">
        <w:rPr>
          <w:noProof/>
        </w:rPr>
        <w:fldChar w:fldCharType="begin"/>
      </w:r>
      <w:r w:rsidR="00D57E4F">
        <w:rPr>
          <w:noProof/>
        </w:rPr>
        <w:instrText xml:space="preserve"> PAGEREF _Toc501099539 \h </w:instrText>
      </w:r>
      <w:r w:rsidR="00D57E4F">
        <w:rPr>
          <w:noProof/>
        </w:rPr>
      </w:r>
      <w:r w:rsidR="00D57E4F">
        <w:rPr>
          <w:noProof/>
        </w:rPr>
        <w:fldChar w:fldCharType="separate"/>
      </w:r>
      <w:r w:rsidR="00D57E4F">
        <w:rPr>
          <w:noProof/>
        </w:rPr>
        <w:t>2</w:t>
      </w:r>
      <w:r w:rsidR="00D57E4F">
        <w:rPr>
          <w:noProof/>
        </w:rPr>
        <w:fldChar w:fldCharType="end"/>
      </w:r>
    </w:p>
    <w:p w14:paraId="3729EAC9" w14:textId="0CE9F75C" w:rsidR="00D57E4F" w:rsidRDefault="00D57E4F">
      <w:pPr>
        <w:pStyle w:val="TOC1"/>
        <w:tabs>
          <w:tab w:val="right" w:leader="dot" w:pos="9350"/>
        </w:tabs>
        <w:rPr>
          <w:rFonts w:eastAsiaTheme="minorEastAsia" w:cstheme="minorBidi"/>
          <w:b w:val="0"/>
          <w:noProof/>
          <w:sz w:val="22"/>
          <w:szCs w:val="22"/>
        </w:rPr>
      </w:pPr>
      <w:r>
        <w:rPr>
          <w:noProof/>
        </w:rPr>
        <w:t>Critical Approaches to Community Based Research</w:t>
      </w:r>
      <w:r>
        <w:rPr>
          <w:noProof/>
        </w:rPr>
        <w:tab/>
      </w:r>
      <w:r>
        <w:rPr>
          <w:noProof/>
        </w:rPr>
        <w:fldChar w:fldCharType="begin"/>
      </w:r>
      <w:r>
        <w:rPr>
          <w:noProof/>
        </w:rPr>
        <w:instrText xml:space="preserve"> PAGEREF _Toc501099540 \h </w:instrText>
      </w:r>
      <w:r>
        <w:rPr>
          <w:noProof/>
        </w:rPr>
      </w:r>
      <w:r>
        <w:rPr>
          <w:noProof/>
        </w:rPr>
        <w:fldChar w:fldCharType="separate"/>
      </w:r>
      <w:r>
        <w:rPr>
          <w:noProof/>
        </w:rPr>
        <w:t>2</w:t>
      </w:r>
      <w:r>
        <w:rPr>
          <w:noProof/>
        </w:rPr>
        <w:fldChar w:fldCharType="end"/>
      </w:r>
    </w:p>
    <w:p w14:paraId="5E20F503" w14:textId="0BFA7CDD" w:rsidR="00D57E4F" w:rsidRDefault="00D57E4F">
      <w:pPr>
        <w:pStyle w:val="TOC2"/>
        <w:tabs>
          <w:tab w:val="right" w:leader="dot" w:pos="9350"/>
        </w:tabs>
        <w:rPr>
          <w:rFonts w:eastAsiaTheme="minorEastAsia" w:cstheme="minorBidi"/>
          <w:b w:val="0"/>
          <w:noProof/>
        </w:rPr>
      </w:pPr>
      <w:r>
        <w:rPr>
          <w:noProof/>
        </w:rPr>
        <w:t>Term 2, 2017</w:t>
      </w:r>
      <w:r>
        <w:rPr>
          <w:noProof/>
        </w:rPr>
        <w:tab/>
      </w:r>
      <w:r>
        <w:rPr>
          <w:noProof/>
        </w:rPr>
        <w:fldChar w:fldCharType="begin"/>
      </w:r>
      <w:r>
        <w:rPr>
          <w:noProof/>
        </w:rPr>
        <w:instrText xml:space="preserve"> PAGEREF _Toc501099541 \h </w:instrText>
      </w:r>
      <w:r>
        <w:rPr>
          <w:noProof/>
        </w:rPr>
      </w:r>
      <w:r>
        <w:rPr>
          <w:noProof/>
        </w:rPr>
        <w:fldChar w:fldCharType="separate"/>
      </w:r>
      <w:r>
        <w:rPr>
          <w:noProof/>
        </w:rPr>
        <w:t>2</w:t>
      </w:r>
      <w:r>
        <w:rPr>
          <w:noProof/>
        </w:rPr>
        <w:fldChar w:fldCharType="end"/>
      </w:r>
    </w:p>
    <w:p w14:paraId="316465AF" w14:textId="4EE7C90B" w:rsidR="00D57E4F" w:rsidRDefault="00D57E4F">
      <w:pPr>
        <w:pStyle w:val="TOC1"/>
        <w:tabs>
          <w:tab w:val="right" w:leader="dot" w:pos="9350"/>
        </w:tabs>
        <w:rPr>
          <w:rFonts w:eastAsiaTheme="minorEastAsia" w:cstheme="minorBidi"/>
          <w:b w:val="0"/>
          <w:noProof/>
          <w:sz w:val="22"/>
          <w:szCs w:val="22"/>
        </w:rPr>
      </w:pPr>
      <w:r>
        <w:rPr>
          <w:noProof/>
        </w:rPr>
        <w:t>Course Description:</w:t>
      </w:r>
      <w:r>
        <w:rPr>
          <w:noProof/>
        </w:rPr>
        <w:tab/>
      </w:r>
      <w:r>
        <w:rPr>
          <w:noProof/>
        </w:rPr>
        <w:fldChar w:fldCharType="begin"/>
      </w:r>
      <w:r>
        <w:rPr>
          <w:noProof/>
        </w:rPr>
        <w:instrText xml:space="preserve"> PAGEREF _Toc501099542 \h </w:instrText>
      </w:r>
      <w:r>
        <w:rPr>
          <w:noProof/>
        </w:rPr>
      </w:r>
      <w:r>
        <w:rPr>
          <w:noProof/>
        </w:rPr>
        <w:fldChar w:fldCharType="separate"/>
      </w:r>
      <w:r>
        <w:rPr>
          <w:noProof/>
        </w:rPr>
        <w:t>2</w:t>
      </w:r>
      <w:r>
        <w:rPr>
          <w:noProof/>
        </w:rPr>
        <w:fldChar w:fldCharType="end"/>
      </w:r>
    </w:p>
    <w:p w14:paraId="739DAC22" w14:textId="09C70311" w:rsidR="00D57E4F" w:rsidRDefault="00D57E4F">
      <w:pPr>
        <w:pStyle w:val="TOC2"/>
        <w:tabs>
          <w:tab w:val="right" w:leader="dot" w:pos="9350"/>
        </w:tabs>
        <w:rPr>
          <w:rFonts w:eastAsiaTheme="minorEastAsia" w:cstheme="minorBidi"/>
          <w:b w:val="0"/>
          <w:noProof/>
        </w:rPr>
      </w:pPr>
      <w:r w:rsidRPr="0083392C">
        <w:rPr>
          <w:rFonts w:eastAsia="MS Gothic"/>
          <w:noProof/>
        </w:rPr>
        <w:t>Course Objectives:</w:t>
      </w:r>
      <w:r>
        <w:rPr>
          <w:noProof/>
        </w:rPr>
        <w:tab/>
      </w:r>
      <w:r>
        <w:rPr>
          <w:noProof/>
        </w:rPr>
        <w:fldChar w:fldCharType="begin"/>
      </w:r>
      <w:r>
        <w:rPr>
          <w:noProof/>
        </w:rPr>
        <w:instrText xml:space="preserve"> PAGEREF _Toc501099543 \h </w:instrText>
      </w:r>
      <w:r>
        <w:rPr>
          <w:noProof/>
        </w:rPr>
      </w:r>
      <w:r>
        <w:rPr>
          <w:noProof/>
        </w:rPr>
        <w:fldChar w:fldCharType="separate"/>
      </w:r>
      <w:r>
        <w:rPr>
          <w:noProof/>
        </w:rPr>
        <w:t>2</w:t>
      </w:r>
      <w:r>
        <w:rPr>
          <w:noProof/>
        </w:rPr>
        <w:fldChar w:fldCharType="end"/>
      </w:r>
    </w:p>
    <w:p w14:paraId="02E19216" w14:textId="652510B9" w:rsidR="00D57E4F" w:rsidRDefault="00D57E4F">
      <w:pPr>
        <w:pStyle w:val="TOC2"/>
        <w:tabs>
          <w:tab w:val="right" w:leader="dot" w:pos="9350"/>
        </w:tabs>
        <w:rPr>
          <w:rFonts w:eastAsiaTheme="minorEastAsia" w:cstheme="minorBidi"/>
          <w:b w:val="0"/>
          <w:noProof/>
        </w:rPr>
      </w:pPr>
      <w:r>
        <w:rPr>
          <w:noProof/>
        </w:rPr>
        <w:t>Student Responsibilities</w:t>
      </w:r>
      <w:r>
        <w:rPr>
          <w:noProof/>
        </w:rPr>
        <w:tab/>
      </w:r>
      <w:r>
        <w:rPr>
          <w:noProof/>
        </w:rPr>
        <w:fldChar w:fldCharType="begin"/>
      </w:r>
      <w:r>
        <w:rPr>
          <w:noProof/>
        </w:rPr>
        <w:instrText xml:space="preserve"> PAGEREF _Toc501099544 \h </w:instrText>
      </w:r>
      <w:r>
        <w:rPr>
          <w:noProof/>
        </w:rPr>
      </w:r>
      <w:r>
        <w:rPr>
          <w:noProof/>
        </w:rPr>
        <w:fldChar w:fldCharType="separate"/>
      </w:r>
      <w:r>
        <w:rPr>
          <w:noProof/>
        </w:rPr>
        <w:t>2</w:t>
      </w:r>
      <w:r>
        <w:rPr>
          <w:noProof/>
        </w:rPr>
        <w:fldChar w:fldCharType="end"/>
      </w:r>
    </w:p>
    <w:p w14:paraId="22AE01AD" w14:textId="520C8EF0" w:rsidR="00D57E4F" w:rsidRDefault="00D57E4F">
      <w:pPr>
        <w:pStyle w:val="TOC2"/>
        <w:tabs>
          <w:tab w:val="right" w:leader="dot" w:pos="9350"/>
        </w:tabs>
        <w:rPr>
          <w:rFonts w:eastAsiaTheme="minorEastAsia" w:cstheme="minorBidi"/>
          <w:b w:val="0"/>
          <w:noProof/>
        </w:rPr>
      </w:pPr>
      <w:r w:rsidRPr="0083392C">
        <w:rPr>
          <w:rFonts w:eastAsia="Calibri"/>
          <w:noProof/>
        </w:rPr>
        <w:t>Form and Style</w:t>
      </w:r>
      <w:r>
        <w:rPr>
          <w:noProof/>
        </w:rPr>
        <w:tab/>
      </w:r>
      <w:r>
        <w:rPr>
          <w:noProof/>
        </w:rPr>
        <w:fldChar w:fldCharType="begin"/>
      </w:r>
      <w:r>
        <w:rPr>
          <w:noProof/>
        </w:rPr>
        <w:instrText xml:space="preserve"> PAGEREF _Toc501099545 \h </w:instrText>
      </w:r>
      <w:r>
        <w:rPr>
          <w:noProof/>
        </w:rPr>
      </w:r>
      <w:r>
        <w:rPr>
          <w:noProof/>
        </w:rPr>
        <w:fldChar w:fldCharType="separate"/>
      </w:r>
      <w:r>
        <w:rPr>
          <w:noProof/>
        </w:rPr>
        <w:t>3</w:t>
      </w:r>
      <w:r>
        <w:rPr>
          <w:noProof/>
        </w:rPr>
        <w:fldChar w:fldCharType="end"/>
      </w:r>
    </w:p>
    <w:p w14:paraId="08831FB9" w14:textId="030E4773" w:rsidR="00D57E4F" w:rsidRDefault="00D57E4F">
      <w:pPr>
        <w:pStyle w:val="TOC2"/>
        <w:tabs>
          <w:tab w:val="right" w:leader="dot" w:pos="9350"/>
        </w:tabs>
        <w:rPr>
          <w:rFonts w:eastAsiaTheme="minorEastAsia" w:cstheme="minorBidi"/>
          <w:b w:val="0"/>
          <w:noProof/>
        </w:rPr>
      </w:pPr>
      <w:r w:rsidRPr="0083392C">
        <w:rPr>
          <w:rFonts w:eastAsia="Calibri"/>
          <w:noProof/>
        </w:rPr>
        <w:t>Course Format</w:t>
      </w:r>
      <w:r>
        <w:rPr>
          <w:noProof/>
        </w:rPr>
        <w:tab/>
      </w:r>
      <w:r>
        <w:rPr>
          <w:noProof/>
        </w:rPr>
        <w:fldChar w:fldCharType="begin"/>
      </w:r>
      <w:r>
        <w:rPr>
          <w:noProof/>
        </w:rPr>
        <w:instrText xml:space="preserve"> PAGEREF _Toc501099546 \h </w:instrText>
      </w:r>
      <w:r>
        <w:rPr>
          <w:noProof/>
        </w:rPr>
      </w:r>
      <w:r>
        <w:rPr>
          <w:noProof/>
        </w:rPr>
        <w:fldChar w:fldCharType="separate"/>
      </w:r>
      <w:r>
        <w:rPr>
          <w:noProof/>
        </w:rPr>
        <w:t>3</w:t>
      </w:r>
      <w:r>
        <w:rPr>
          <w:noProof/>
        </w:rPr>
        <w:fldChar w:fldCharType="end"/>
      </w:r>
    </w:p>
    <w:p w14:paraId="2964A678" w14:textId="4042E041" w:rsidR="00D57E4F" w:rsidRDefault="00D57E4F">
      <w:pPr>
        <w:pStyle w:val="TOC2"/>
        <w:tabs>
          <w:tab w:val="right" w:leader="dot" w:pos="9350"/>
        </w:tabs>
        <w:rPr>
          <w:rFonts w:eastAsiaTheme="minorEastAsia" w:cstheme="minorBidi"/>
          <w:b w:val="0"/>
          <w:noProof/>
        </w:rPr>
      </w:pPr>
      <w:r w:rsidRPr="0083392C">
        <w:rPr>
          <w:rFonts w:eastAsia="Calibri"/>
          <w:noProof/>
        </w:rPr>
        <w:t>Submission Dates &amp; Grading</w:t>
      </w:r>
      <w:r>
        <w:rPr>
          <w:noProof/>
        </w:rPr>
        <w:tab/>
      </w:r>
      <w:r>
        <w:rPr>
          <w:noProof/>
        </w:rPr>
        <w:fldChar w:fldCharType="begin"/>
      </w:r>
      <w:r>
        <w:rPr>
          <w:noProof/>
        </w:rPr>
        <w:instrText xml:space="preserve"> PAGEREF _Toc501099547 \h </w:instrText>
      </w:r>
      <w:r>
        <w:rPr>
          <w:noProof/>
        </w:rPr>
      </w:r>
      <w:r>
        <w:rPr>
          <w:noProof/>
        </w:rPr>
        <w:fldChar w:fldCharType="separate"/>
      </w:r>
      <w:r>
        <w:rPr>
          <w:noProof/>
        </w:rPr>
        <w:t>4</w:t>
      </w:r>
      <w:r>
        <w:rPr>
          <w:noProof/>
        </w:rPr>
        <w:fldChar w:fldCharType="end"/>
      </w:r>
    </w:p>
    <w:p w14:paraId="15530E28" w14:textId="696224DB" w:rsidR="00D57E4F" w:rsidRDefault="00D57E4F">
      <w:pPr>
        <w:pStyle w:val="TOC2"/>
        <w:tabs>
          <w:tab w:val="right" w:leader="dot" w:pos="9350"/>
        </w:tabs>
        <w:rPr>
          <w:rFonts w:eastAsiaTheme="minorEastAsia" w:cstheme="minorBidi"/>
          <w:b w:val="0"/>
          <w:noProof/>
        </w:rPr>
      </w:pPr>
      <w:r>
        <w:rPr>
          <w:noProof/>
        </w:rPr>
        <w:t>Academic Integrity</w:t>
      </w:r>
      <w:r>
        <w:rPr>
          <w:noProof/>
        </w:rPr>
        <w:tab/>
      </w:r>
      <w:r>
        <w:rPr>
          <w:noProof/>
        </w:rPr>
        <w:fldChar w:fldCharType="begin"/>
      </w:r>
      <w:r>
        <w:rPr>
          <w:noProof/>
        </w:rPr>
        <w:instrText xml:space="preserve"> PAGEREF _Toc501099548 \h </w:instrText>
      </w:r>
      <w:r>
        <w:rPr>
          <w:noProof/>
        </w:rPr>
      </w:r>
      <w:r>
        <w:rPr>
          <w:noProof/>
        </w:rPr>
        <w:fldChar w:fldCharType="separate"/>
      </w:r>
      <w:r>
        <w:rPr>
          <w:noProof/>
        </w:rPr>
        <w:t>4</w:t>
      </w:r>
      <w:r>
        <w:rPr>
          <w:noProof/>
        </w:rPr>
        <w:fldChar w:fldCharType="end"/>
      </w:r>
    </w:p>
    <w:p w14:paraId="2E52CFBA" w14:textId="244D1E86" w:rsidR="00D57E4F" w:rsidRDefault="00D57E4F">
      <w:pPr>
        <w:pStyle w:val="TOC2"/>
        <w:tabs>
          <w:tab w:val="right" w:leader="dot" w:pos="9350"/>
        </w:tabs>
        <w:rPr>
          <w:rFonts w:eastAsiaTheme="minorEastAsia" w:cstheme="minorBidi"/>
          <w:b w:val="0"/>
          <w:noProof/>
        </w:rPr>
      </w:pPr>
      <w:r w:rsidRPr="0083392C">
        <w:rPr>
          <w:rFonts w:eastAsia="Calibri"/>
          <w:noProof/>
        </w:rPr>
        <w:t>Course Modification Policy</w:t>
      </w:r>
      <w:r>
        <w:rPr>
          <w:noProof/>
        </w:rPr>
        <w:tab/>
      </w:r>
      <w:r>
        <w:rPr>
          <w:noProof/>
        </w:rPr>
        <w:fldChar w:fldCharType="begin"/>
      </w:r>
      <w:r>
        <w:rPr>
          <w:noProof/>
        </w:rPr>
        <w:instrText xml:space="preserve"> PAGEREF _Toc501099549 \h </w:instrText>
      </w:r>
      <w:r>
        <w:rPr>
          <w:noProof/>
        </w:rPr>
      </w:r>
      <w:r>
        <w:rPr>
          <w:noProof/>
        </w:rPr>
        <w:fldChar w:fldCharType="separate"/>
      </w:r>
      <w:r>
        <w:rPr>
          <w:noProof/>
        </w:rPr>
        <w:t>5</w:t>
      </w:r>
      <w:r>
        <w:rPr>
          <w:noProof/>
        </w:rPr>
        <w:fldChar w:fldCharType="end"/>
      </w:r>
    </w:p>
    <w:p w14:paraId="39F7D914" w14:textId="4FB91B7F" w:rsidR="00D57E4F" w:rsidRDefault="00D57E4F">
      <w:pPr>
        <w:pStyle w:val="TOC2"/>
        <w:tabs>
          <w:tab w:val="right" w:leader="dot" w:pos="9350"/>
        </w:tabs>
        <w:rPr>
          <w:rFonts w:eastAsiaTheme="minorEastAsia" w:cstheme="minorBidi"/>
          <w:b w:val="0"/>
          <w:noProof/>
        </w:rPr>
      </w:pPr>
      <w:r>
        <w:rPr>
          <w:noProof/>
        </w:rPr>
        <w:t>Academic Accommodation of Students with Disabilities</w:t>
      </w:r>
      <w:r>
        <w:rPr>
          <w:noProof/>
        </w:rPr>
        <w:tab/>
      </w:r>
      <w:r>
        <w:rPr>
          <w:noProof/>
        </w:rPr>
        <w:fldChar w:fldCharType="begin"/>
      </w:r>
      <w:r>
        <w:rPr>
          <w:noProof/>
        </w:rPr>
        <w:instrText xml:space="preserve"> PAGEREF _Toc501099550 \h </w:instrText>
      </w:r>
      <w:r>
        <w:rPr>
          <w:noProof/>
        </w:rPr>
      </w:r>
      <w:r>
        <w:rPr>
          <w:noProof/>
        </w:rPr>
        <w:fldChar w:fldCharType="separate"/>
      </w:r>
      <w:r>
        <w:rPr>
          <w:noProof/>
        </w:rPr>
        <w:t>5</w:t>
      </w:r>
      <w:r>
        <w:rPr>
          <w:noProof/>
        </w:rPr>
        <w:fldChar w:fldCharType="end"/>
      </w:r>
    </w:p>
    <w:p w14:paraId="744FAB2E" w14:textId="07CA0C24" w:rsidR="00D57E4F" w:rsidRDefault="00D57E4F">
      <w:pPr>
        <w:pStyle w:val="TOC2"/>
        <w:tabs>
          <w:tab w:val="right" w:leader="dot" w:pos="9350"/>
        </w:tabs>
        <w:rPr>
          <w:rFonts w:eastAsiaTheme="minorEastAsia" w:cstheme="minorBidi"/>
          <w:b w:val="0"/>
          <w:noProof/>
        </w:rPr>
      </w:pPr>
      <w:r w:rsidRPr="0083392C">
        <w:rPr>
          <w:rFonts w:eastAsia="Calibri"/>
          <w:noProof/>
        </w:rPr>
        <w:t>Accessibility Statement</w:t>
      </w:r>
      <w:r>
        <w:rPr>
          <w:noProof/>
        </w:rPr>
        <w:tab/>
      </w:r>
      <w:r>
        <w:rPr>
          <w:noProof/>
        </w:rPr>
        <w:fldChar w:fldCharType="begin"/>
      </w:r>
      <w:r>
        <w:rPr>
          <w:noProof/>
        </w:rPr>
        <w:instrText xml:space="preserve"> PAGEREF _Toc501099551 \h </w:instrText>
      </w:r>
      <w:r>
        <w:rPr>
          <w:noProof/>
        </w:rPr>
      </w:r>
      <w:r>
        <w:rPr>
          <w:noProof/>
        </w:rPr>
        <w:fldChar w:fldCharType="separate"/>
      </w:r>
      <w:r>
        <w:rPr>
          <w:noProof/>
        </w:rPr>
        <w:t>5</w:t>
      </w:r>
      <w:r>
        <w:rPr>
          <w:noProof/>
        </w:rPr>
        <w:fldChar w:fldCharType="end"/>
      </w:r>
    </w:p>
    <w:p w14:paraId="2F66F887" w14:textId="6144DE3E" w:rsidR="00D57E4F" w:rsidRDefault="00D57E4F">
      <w:pPr>
        <w:pStyle w:val="TOC2"/>
        <w:tabs>
          <w:tab w:val="right" w:leader="dot" w:pos="9350"/>
        </w:tabs>
        <w:rPr>
          <w:rFonts w:eastAsiaTheme="minorEastAsia" w:cstheme="minorBidi"/>
          <w:b w:val="0"/>
          <w:noProof/>
        </w:rPr>
      </w:pPr>
      <w:r w:rsidRPr="0083392C">
        <w:rPr>
          <w:rFonts w:eastAsia="Calibri"/>
          <w:noProof/>
        </w:rPr>
        <w:t>Religious, Indigenous and Spiritual Observances (RISO)</w:t>
      </w:r>
      <w:r>
        <w:rPr>
          <w:noProof/>
        </w:rPr>
        <w:tab/>
      </w:r>
      <w:r>
        <w:rPr>
          <w:noProof/>
        </w:rPr>
        <w:fldChar w:fldCharType="begin"/>
      </w:r>
      <w:r>
        <w:rPr>
          <w:noProof/>
        </w:rPr>
        <w:instrText xml:space="preserve"> PAGEREF _Toc501099552 \h </w:instrText>
      </w:r>
      <w:r>
        <w:rPr>
          <w:noProof/>
        </w:rPr>
      </w:r>
      <w:r>
        <w:rPr>
          <w:noProof/>
        </w:rPr>
        <w:fldChar w:fldCharType="separate"/>
      </w:r>
      <w:r>
        <w:rPr>
          <w:noProof/>
        </w:rPr>
        <w:t>6</w:t>
      </w:r>
      <w:r>
        <w:rPr>
          <w:noProof/>
        </w:rPr>
        <w:fldChar w:fldCharType="end"/>
      </w:r>
    </w:p>
    <w:p w14:paraId="1C590D6A" w14:textId="0A8782AE" w:rsidR="00D57E4F" w:rsidRDefault="00D57E4F">
      <w:pPr>
        <w:pStyle w:val="TOC2"/>
        <w:tabs>
          <w:tab w:val="right" w:leader="dot" w:pos="9350"/>
        </w:tabs>
        <w:rPr>
          <w:rFonts w:eastAsiaTheme="minorEastAsia" w:cstheme="minorBidi"/>
          <w:b w:val="0"/>
          <w:noProof/>
        </w:rPr>
      </w:pPr>
      <w:r w:rsidRPr="0083392C">
        <w:rPr>
          <w:rFonts w:eastAsia="Calibri"/>
          <w:noProof/>
        </w:rPr>
        <w:t>E-mail Communication Policy</w:t>
      </w:r>
      <w:r>
        <w:rPr>
          <w:noProof/>
        </w:rPr>
        <w:tab/>
      </w:r>
      <w:r>
        <w:rPr>
          <w:noProof/>
        </w:rPr>
        <w:fldChar w:fldCharType="begin"/>
      </w:r>
      <w:r>
        <w:rPr>
          <w:noProof/>
        </w:rPr>
        <w:instrText xml:space="preserve"> PAGEREF _Toc501099553 \h </w:instrText>
      </w:r>
      <w:r>
        <w:rPr>
          <w:noProof/>
        </w:rPr>
      </w:r>
      <w:r>
        <w:rPr>
          <w:noProof/>
        </w:rPr>
        <w:fldChar w:fldCharType="separate"/>
      </w:r>
      <w:r>
        <w:rPr>
          <w:noProof/>
        </w:rPr>
        <w:t>6</w:t>
      </w:r>
      <w:r>
        <w:rPr>
          <w:noProof/>
        </w:rPr>
        <w:fldChar w:fldCharType="end"/>
      </w:r>
    </w:p>
    <w:p w14:paraId="1F646218" w14:textId="0A08DAD9" w:rsidR="00D57E4F" w:rsidRDefault="00D57E4F">
      <w:pPr>
        <w:pStyle w:val="TOC2"/>
        <w:tabs>
          <w:tab w:val="right" w:leader="dot" w:pos="9350"/>
        </w:tabs>
        <w:rPr>
          <w:rFonts w:eastAsiaTheme="minorEastAsia" w:cstheme="minorBidi"/>
          <w:b w:val="0"/>
          <w:noProof/>
        </w:rPr>
      </w:pPr>
      <w:r w:rsidRPr="0083392C">
        <w:rPr>
          <w:rFonts w:eastAsia="Calibri"/>
          <w:noProof/>
        </w:rPr>
        <w:t>Attendance</w:t>
      </w:r>
      <w:r>
        <w:rPr>
          <w:noProof/>
        </w:rPr>
        <w:tab/>
      </w:r>
      <w:r>
        <w:rPr>
          <w:noProof/>
        </w:rPr>
        <w:fldChar w:fldCharType="begin"/>
      </w:r>
      <w:r>
        <w:rPr>
          <w:noProof/>
        </w:rPr>
        <w:instrText xml:space="preserve"> PAGEREF _Toc501099554 \h </w:instrText>
      </w:r>
      <w:r>
        <w:rPr>
          <w:noProof/>
        </w:rPr>
      </w:r>
      <w:r>
        <w:rPr>
          <w:noProof/>
        </w:rPr>
        <w:fldChar w:fldCharType="separate"/>
      </w:r>
      <w:r>
        <w:rPr>
          <w:noProof/>
        </w:rPr>
        <w:t>6</w:t>
      </w:r>
      <w:r>
        <w:rPr>
          <w:noProof/>
        </w:rPr>
        <w:fldChar w:fldCharType="end"/>
      </w:r>
    </w:p>
    <w:p w14:paraId="6913EA3D" w14:textId="71735DC1" w:rsidR="00D57E4F" w:rsidRDefault="00D57E4F">
      <w:pPr>
        <w:pStyle w:val="TOC2"/>
        <w:tabs>
          <w:tab w:val="right" w:leader="dot" w:pos="9350"/>
        </w:tabs>
        <w:rPr>
          <w:rFonts w:eastAsiaTheme="minorEastAsia" w:cstheme="minorBidi"/>
          <w:b w:val="0"/>
          <w:noProof/>
        </w:rPr>
      </w:pPr>
      <w:r>
        <w:rPr>
          <w:noProof/>
        </w:rPr>
        <w:t>Assignments:</w:t>
      </w:r>
      <w:r>
        <w:rPr>
          <w:noProof/>
        </w:rPr>
        <w:tab/>
      </w:r>
      <w:r>
        <w:rPr>
          <w:noProof/>
        </w:rPr>
        <w:fldChar w:fldCharType="begin"/>
      </w:r>
      <w:r>
        <w:rPr>
          <w:noProof/>
        </w:rPr>
        <w:instrText xml:space="preserve"> PAGEREF _Toc501099555 \h </w:instrText>
      </w:r>
      <w:r>
        <w:rPr>
          <w:noProof/>
        </w:rPr>
      </w:r>
      <w:r>
        <w:rPr>
          <w:noProof/>
        </w:rPr>
        <w:fldChar w:fldCharType="separate"/>
      </w:r>
      <w:r>
        <w:rPr>
          <w:noProof/>
        </w:rPr>
        <w:t>6</w:t>
      </w:r>
      <w:r>
        <w:rPr>
          <w:noProof/>
        </w:rPr>
        <w:fldChar w:fldCharType="end"/>
      </w:r>
    </w:p>
    <w:p w14:paraId="3C0E16DA" w14:textId="7C595EA6" w:rsidR="00D57E4F" w:rsidRDefault="00D57E4F">
      <w:pPr>
        <w:pStyle w:val="TOC2"/>
        <w:tabs>
          <w:tab w:val="right" w:leader="dot" w:pos="9350"/>
        </w:tabs>
        <w:rPr>
          <w:rFonts w:eastAsiaTheme="minorEastAsia" w:cstheme="minorBidi"/>
          <w:b w:val="0"/>
          <w:noProof/>
        </w:rPr>
      </w:pPr>
      <w:r>
        <w:rPr>
          <w:noProof/>
        </w:rPr>
        <w:t>Course Weekly Topics and Readings</w:t>
      </w:r>
      <w:r>
        <w:rPr>
          <w:noProof/>
        </w:rPr>
        <w:tab/>
      </w:r>
      <w:r>
        <w:rPr>
          <w:noProof/>
        </w:rPr>
        <w:fldChar w:fldCharType="begin"/>
      </w:r>
      <w:r>
        <w:rPr>
          <w:noProof/>
        </w:rPr>
        <w:instrText xml:space="preserve"> PAGEREF _Toc501099556 \h </w:instrText>
      </w:r>
      <w:r>
        <w:rPr>
          <w:noProof/>
        </w:rPr>
      </w:r>
      <w:r>
        <w:rPr>
          <w:noProof/>
        </w:rPr>
        <w:fldChar w:fldCharType="separate"/>
      </w:r>
      <w:r>
        <w:rPr>
          <w:noProof/>
        </w:rPr>
        <w:t>8</w:t>
      </w:r>
      <w:r>
        <w:rPr>
          <w:noProof/>
        </w:rPr>
        <w:fldChar w:fldCharType="end"/>
      </w:r>
    </w:p>
    <w:p w14:paraId="5F10DE08" w14:textId="3287BBB1" w:rsidR="001A70D5" w:rsidRDefault="00EC210E" w:rsidP="00EC210E">
      <w:pPr>
        <w:pStyle w:val="Heading1"/>
        <w:rPr>
          <w:rFonts w:asciiTheme="minorHAnsi" w:eastAsia="Times New Roman" w:hAnsiTheme="minorHAnsi" w:cs="Arial"/>
          <w:b w:val="0"/>
          <w:bCs w:val="0"/>
          <w:color w:val="auto"/>
          <w:sz w:val="24"/>
          <w:szCs w:val="24"/>
        </w:rPr>
      </w:pPr>
      <w:r>
        <w:rPr>
          <w:rFonts w:asciiTheme="minorHAnsi" w:eastAsia="Times New Roman" w:hAnsiTheme="minorHAnsi" w:cs="Arial"/>
          <w:b w:val="0"/>
          <w:bCs w:val="0"/>
          <w:color w:val="auto"/>
          <w:sz w:val="24"/>
          <w:szCs w:val="24"/>
        </w:rPr>
        <w:fldChar w:fldCharType="end"/>
      </w:r>
    </w:p>
    <w:p w14:paraId="41AE3E59" w14:textId="77777777" w:rsidR="001A70D5" w:rsidRDefault="001A70D5">
      <w:pPr>
        <w:spacing w:after="200" w:line="276" w:lineRule="auto"/>
        <w:rPr>
          <w:rFonts w:asciiTheme="minorHAnsi" w:hAnsiTheme="minorHAnsi" w:cs="Arial"/>
          <w:b w:val="0"/>
          <w:szCs w:val="24"/>
        </w:rPr>
      </w:pPr>
      <w:r>
        <w:rPr>
          <w:rFonts w:asciiTheme="minorHAnsi" w:hAnsiTheme="minorHAnsi" w:cs="Arial"/>
          <w:b w:val="0"/>
          <w:bCs/>
          <w:szCs w:val="24"/>
        </w:rPr>
        <w:br w:type="page"/>
      </w:r>
    </w:p>
    <w:p w14:paraId="42829030" w14:textId="2522C362" w:rsidR="00EC210E" w:rsidRDefault="00EC210E" w:rsidP="00EC210E">
      <w:pPr>
        <w:pStyle w:val="Heading1"/>
      </w:pPr>
      <w:bookmarkStart w:id="0" w:name="_Toc501099539"/>
      <w:r>
        <w:lastRenderedPageBreak/>
        <w:t>Social Science 701:</w:t>
      </w:r>
      <w:bookmarkEnd w:id="0"/>
    </w:p>
    <w:p w14:paraId="25E250CA" w14:textId="77777777" w:rsidR="00EC210E" w:rsidRDefault="00EC210E" w:rsidP="00EC210E">
      <w:pPr>
        <w:pStyle w:val="Heading1"/>
      </w:pPr>
      <w:bookmarkStart w:id="1" w:name="_Toc501099540"/>
      <w:r>
        <w:t>Critical Approaches to Community Based Research</w:t>
      </w:r>
      <w:bookmarkEnd w:id="1"/>
    </w:p>
    <w:p w14:paraId="76421691" w14:textId="0CCA4029" w:rsidR="00EC210E" w:rsidRDefault="00805E96" w:rsidP="00EC210E">
      <w:pPr>
        <w:pStyle w:val="Heading2"/>
        <w:jc w:val="center"/>
      </w:pPr>
      <w:bookmarkStart w:id="2" w:name="_Toc501099541"/>
      <w:r>
        <w:t>Winter</w:t>
      </w:r>
      <w:r w:rsidR="00EC210E">
        <w:t>, 201</w:t>
      </w:r>
      <w:bookmarkEnd w:id="2"/>
      <w:r>
        <w:t>8</w:t>
      </w:r>
    </w:p>
    <w:p w14:paraId="6068B9ED" w14:textId="77777777" w:rsidR="00EC210E" w:rsidRDefault="00EC210E" w:rsidP="00EC210E">
      <w:pPr>
        <w:pStyle w:val="Heading1"/>
      </w:pPr>
      <w:bookmarkStart w:id="3" w:name="_Toc501099542"/>
      <w:r>
        <w:t>Course Description:</w:t>
      </w:r>
      <w:bookmarkEnd w:id="3"/>
    </w:p>
    <w:p w14:paraId="2CB19FAD" w14:textId="77777777" w:rsidR="00EC210E" w:rsidRDefault="00EC210E" w:rsidP="00EC210E">
      <w:pPr>
        <w:spacing w:line="276" w:lineRule="auto"/>
      </w:pPr>
    </w:p>
    <w:p w14:paraId="35477CE0" w14:textId="77777777" w:rsidR="00EC210E" w:rsidRDefault="00EC210E" w:rsidP="00EC210E">
      <w:pPr>
        <w:spacing w:line="276" w:lineRule="auto"/>
        <w:rPr>
          <w:b w:val="0"/>
        </w:rPr>
      </w:pPr>
      <w:bookmarkStart w:id="4" w:name="_GoBack"/>
      <w:r>
        <w:rPr>
          <w:b w:val="0"/>
        </w:rPr>
        <w:t xml:space="preserve">This course introduces students to critical approaches in community based research in the social sciences. It is intended for graduate students at the MA and PhD level in the social sciences or related field who are interested or engaged in scholarship from a community-based perspective.  </w:t>
      </w:r>
    </w:p>
    <w:bookmarkEnd w:id="4"/>
    <w:p w14:paraId="128E6CBA" w14:textId="57C94EF5" w:rsidR="00EC210E" w:rsidRDefault="00EC210E" w:rsidP="00EC210E">
      <w:pPr>
        <w:rPr>
          <w:rFonts w:cs="Arial"/>
          <w:b w:val="0"/>
          <w:szCs w:val="24"/>
        </w:rPr>
      </w:pPr>
    </w:p>
    <w:p w14:paraId="60E6F65A" w14:textId="77777777" w:rsidR="003404C1" w:rsidRDefault="003404C1" w:rsidP="00EC210E">
      <w:pPr>
        <w:rPr>
          <w:rFonts w:cs="Arial"/>
          <w:b w:val="0"/>
          <w:szCs w:val="24"/>
        </w:rPr>
      </w:pPr>
    </w:p>
    <w:p w14:paraId="7CEDDCC1" w14:textId="77777777" w:rsidR="00EC210E" w:rsidRDefault="00EC210E" w:rsidP="00EC210E">
      <w:pPr>
        <w:pStyle w:val="Heading2"/>
        <w:rPr>
          <w:rFonts w:eastAsia="MS Gothic"/>
        </w:rPr>
      </w:pPr>
      <w:bookmarkStart w:id="5" w:name="_Toc501099543"/>
      <w:r>
        <w:rPr>
          <w:rFonts w:eastAsia="MS Gothic"/>
        </w:rPr>
        <w:t>Course Objectives:</w:t>
      </w:r>
      <w:bookmarkEnd w:id="5"/>
    </w:p>
    <w:p w14:paraId="4C3AD95D" w14:textId="77777777" w:rsidR="00EC210E" w:rsidRDefault="00EC210E" w:rsidP="00EC210E">
      <w:pPr>
        <w:pStyle w:val="Heading2"/>
      </w:pPr>
      <w:r>
        <w:t xml:space="preserve">  </w:t>
      </w:r>
    </w:p>
    <w:p w14:paraId="08B1AB5E" w14:textId="14BC8121" w:rsidR="00EC210E" w:rsidRPr="001A70D5" w:rsidRDefault="00EC210E" w:rsidP="001A70D5">
      <w:pPr>
        <w:pStyle w:val="ListParagraph"/>
        <w:numPr>
          <w:ilvl w:val="0"/>
          <w:numId w:val="12"/>
        </w:numPr>
        <w:rPr>
          <w:rFonts w:ascii="Arial" w:hAnsi="Arial" w:cs="Arial"/>
          <w:b w:val="0"/>
          <w:sz w:val="24"/>
        </w:rPr>
      </w:pPr>
      <w:bookmarkStart w:id="6" w:name="_Toc437849377"/>
      <w:r w:rsidRPr="001A70D5">
        <w:rPr>
          <w:rFonts w:ascii="Arial" w:hAnsi="Arial" w:cs="Arial"/>
          <w:b w:val="0"/>
          <w:sz w:val="24"/>
        </w:rPr>
        <w:t>To provide students with a working knowledge of the theoretical foun</w:t>
      </w:r>
      <w:r w:rsidR="001A70D5">
        <w:rPr>
          <w:rFonts w:ascii="Arial" w:hAnsi="Arial" w:cs="Arial"/>
          <w:b w:val="0"/>
          <w:sz w:val="24"/>
        </w:rPr>
        <w:t xml:space="preserve">dation and history of community </w:t>
      </w:r>
      <w:r w:rsidRPr="001A70D5">
        <w:rPr>
          <w:rFonts w:ascii="Arial" w:hAnsi="Arial" w:cs="Arial"/>
          <w:b w:val="0"/>
          <w:sz w:val="24"/>
        </w:rPr>
        <w:t>based research;</w:t>
      </w:r>
      <w:bookmarkEnd w:id="6"/>
      <w:r w:rsidRPr="001A70D5">
        <w:rPr>
          <w:rFonts w:ascii="Arial" w:hAnsi="Arial" w:cs="Arial"/>
          <w:b w:val="0"/>
          <w:sz w:val="24"/>
        </w:rPr>
        <w:t xml:space="preserve"> </w:t>
      </w:r>
    </w:p>
    <w:p w14:paraId="2307DBD0" w14:textId="1D690249" w:rsidR="00EC210E" w:rsidRPr="001A70D5" w:rsidRDefault="00EC210E" w:rsidP="001A70D5">
      <w:pPr>
        <w:pStyle w:val="ListParagraph"/>
        <w:numPr>
          <w:ilvl w:val="0"/>
          <w:numId w:val="12"/>
        </w:numPr>
        <w:rPr>
          <w:rFonts w:ascii="Arial" w:hAnsi="Arial" w:cs="Arial"/>
          <w:b w:val="0"/>
          <w:sz w:val="24"/>
        </w:rPr>
      </w:pPr>
      <w:r w:rsidRPr="001A70D5">
        <w:rPr>
          <w:rFonts w:ascii="Arial" w:hAnsi="Arial" w:cs="Arial"/>
          <w:b w:val="0"/>
          <w:sz w:val="24"/>
        </w:rPr>
        <w:t xml:space="preserve">To provide students with a practical understanding of the methods and methodologies taken up within community based research; </w:t>
      </w:r>
    </w:p>
    <w:p w14:paraId="128B3716" w14:textId="77777777" w:rsidR="003404C1" w:rsidRPr="001A70D5" w:rsidRDefault="00EC210E" w:rsidP="001A70D5">
      <w:pPr>
        <w:pStyle w:val="ListParagraph"/>
        <w:numPr>
          <w:ilvl w:val="0"/>
          <w:numId w:val="12"/>
        </w:numPr>
        <w:rPr>
          <w:rFonts w:ascii="Arial" w:hAnsi="Arial" w:cs="Arial"/>
          <w:b w:val="0"/>
          <w:sz w:val="24"/>
        </w:rPr>
      </w:pPr>
      <w:r w:rsidRPr="001A70D5">
        <w:rPr>
          <w:rFonts w:ascii="Arial" w:hAnsi="Arial" w:cs="Arial"/>
          <w:b w:val="0"/>
          <w:sz w:val="24"/>
        </w:rPr>
        <w:t>To provide students with an entry into the practice of community based research with an attention to:</w:t>
      </w:r>
    </w:p>
    <w:p w14:paraId="23A1500E" w14:textId="1EB288FC" w:rsidR="003404C1" w:rsidRPr="001A70D5" w:rsidRDefault="00EC210E" w:rsidP="001A70D5">
      <w:pPr>
        <w:pStyle w:val="ListParagraph"/>
        <w:numPr>
          <w:ilvl w:val="2"/>
          <w:numId w:val="12"/>
        </w:numPr>
        <w:rPr>
          <w:rFonts w:ascii="Arial" w:hAnsi="Arial" w:cs="Arial"/>
          <w:b w:val="0"/>
          <w:sz w:val="24"/>
        </w:rPr>
      </w:pPr>
      <w:r w:rsidRPr="001A70D5">
        <w:rPr>
          <w:rFonts w:ascii="Arial" w:hAnsi="Arial" w:cs="Arial"/>
          <w:b w:val="0"/>
          <w:sz w:val="24"/>
        </w:rPr>
        <w:t>Developing a critical analysis of collaboration</w:t>
      </w:r>
      <w:r w:rsidR="001A70D5">
        <w:rPr>
          <w:rFonts w:ascii="Arial" w:hAnsi="Arial" w:cs="Arial"/>
          <w:b w:val="0"/>
          <w:sz w:val="24"/>
        </w:rPr>
        <w:t>;</w:t>
      </w:r>
    </w:p>
    <w:p w14:paraId="2FDBF005" w14:textId="423DF5A7" w:rsidR="003404C1" w:rsidRPr="001A70D5" w:rsidRDefault="00EC210E" w:rsidP="001A70D5">
      <w:pPr>
        <w:pStyle w:val="ListParagraph"/>
        <w:numPr>
          <w:ilvl w:val="2"/>
          <w:numId w:val="12"/>
        </w:numPr>
        <w:rPr>
          <w:rFonts w:ascii="Arial" w:hAnsi="Arial" w:cs="Arial"/>
          <w:b w:val="0"/>
          <w:sz w:val="24"/>
        </w:rPr>
      </w:pPr>
      <w:r w:rsidRPr="001A70D5">
        <w:rPr>
          <w:rFonts w:ascii="Arial" w:hAnsi="Arial" w:cs="Arial"/>
          <w:b w:val="0"/>
          <w:sz w:val="24"/>
        </w:rPr>
        <w:t>Analyzing and evaluating strategies aimed at community-based participation and leadership</w:t>
      </w:r>
      <w:r w:rsidR="001A70D5">
        <w:rPr>
          <w:rFonts w:ascii="Arial" w:hAnsi="Arial" w:cs="Arial"/>
          <w:b w:val="0"/>
          <w:sz w:val="24"/>
        </w:rPr>
        <w:t>;</w:t>
      </w:r>
    </w:p>
    <w:p w14:paraId="4ADAF8D2" w14:textId="5E05D3CB" w:rsidR="003404C1" w:rsidRPr="001A70D5" w:rsidRDefault="00EC210E" w:rsidP="001A70D5">
      <w:pPr>
        <w:pStyle w:val="ListParagraph"/>
        <w:numPr>
          <w:ilvl w:val="2"/>
          <w:numId w:val="12"/>
        </w:numPr>
        <w:rPr>
          <w:rFonts w:ascii="Arial" w:hAnsi="Arial" w:cs="Arial"/>
          <w:b w:val="0"/>
          <w:sz w:val="24"/>
        </w:rPr>
      </w:pPr>
      <w:r w:rsidRPr="001A70D5">
        <w:rPr>
          <w:rFonts w:ascii="Arial" w:hAnsi="Arial" w:cs="Arial"/>
          <w:b w:val="0"/>
          <w:sz w:val="24"/>
        </w:rPr>
        <w:t>Develop a critical analysis of community-based research ethics</w:t>
      </w:r>
      <w:r w:rsidR="001A70D5">
        <w:rPr>
          <w:rFonts w:ascii="Arial" w:hAnsi="Arial" w:cs="Arial"/>
          <w:b w:val="0"/>
          <w:sz w:val="24"/>
        </w:rPr>
        <w:t>;</w:t>
      </w:r>
      <w:r w:rsidRPr="001A70D5">
        <w:rPr>
          <w:rFonts w:ascii="Arial" w:hAnsi="Arial" w:cs="Arial"/>
          <w:b w:val="0"/>
          <w:sz w:val="24"/>
        </w:rPr>
        <w:t xml:space="preserve"> </w:t>
      </w:r>
    </w:p>
    <w:p w14:paraId="2F7705DE" w14:textId="75A77D88" w:rsidR="00EC210E" w:rsidRPr="001A70D5" w:rsidRDefault="00EC210E" w:rsidP="00EC210E">
      <w:pPr>
        <w:pStyle w:val="ListParagraph"/>
        <w:numPr>
          <w:ilvl w:val="2"/>
          <w:numId w:val="12"/>
        </w:numPr>
        <w:rPr>
          <w:rFonts w:ascii="Arial" w:hAnsi="Arial" w:cs="Arial"/>
          <w:b w:val="0"/>
          <w:sz w:val="24"/>
        </w:rPr>
      </w:pPr>
      <w:r w:rsidRPr="001A70D5">
        <w:rPr>
          <w:rFonts w:ascii="Arial" w:hAnsi="Arial" w:cs="Arial"/>
          <w:b w:val="0"/>
          <w:sz w:val="24"/>
        </w:rPr>
        <w:t>Develop a critical understanding of engaging in research for social change</w:t>
      </w:r>
      <w:r w:rsidR="001A70D5">
        <w:rPr>
          <w:rFonts w:ascii="Arial" w:hAnsi="Arial" w:cs="Arial"/>
          <w:b w:val="0"/>
          <w:sz w:val="24"/>
        </w:rPr>
        <w:t>.</w:t>
      </w:r>
      <w:r w:rsidRPr="001A70D5">
        <w:rPr>
          <w:rFonts w:ascii="Arial" w:hAnsi="Arial" w:cs="Arial"/>
          <w:b w:val="0"/>
          <w:sz w:val="24"/>
        </w:rPr>
        <w:t xml:space="preserve"> </w:t>
      </w:r>
    </w:p>
    <w:p w14:paraId="0428CF6C" w14:textId="77777777" w:rsidR="00EC210E" w:rsidRDefault="00EC210E" w:rsidP="00EC210E">
      <w:pPr>
        <w:rPr>
          <w:rFonts w:cs="Arial"/>
          <w:b w:val="0"/>
          <w:szCs w:val="24"/>
        </w:rPr>
      </w:pPr>
    </w:p>
    <w:p w14:paraId="2CAA176F" w14:textId="77777777" w:rsidR="00EC210E" w:rsidRDefault="00EC210E" w:rsidP="00EC210E">
      <w:pPr>
        <w:pStyle w:val="Heading2"/>
      </w:pPr>
      <w:bookmarkStart w:id="7" w:name="_Toc501099544"/>
      <w:r>
        <w:t>Student Responsibilities</w:t>
      </w:r>
      <w:bookmarkEnd w:id="7"/>
      <w:r>
        <w:t xml:space="preserve"> </w:t>
      </w:r>
    </w:p>
    <w:p w14:paraId="1451D5D1" w14:textId="77777777" w:rsidR="00EC210E" w:rsidRDefault="00EC210E" w:rsidP="00EC210E">
      <w:pPr>
        <w:pStyle w:val="Default"/>
        <w:rPr>
          <w:rFonts w:ascii="Arial" w:hAnsi="Arial" w:cs="Arial"/>
        </w:rPr>
      </w:pPr>
    </w:p>
    <w:p w14:paraId="22847A42" w14:textId="77777777" w:rsidR="00EC210E" w:rsidRDefault="00EC210E" w:rsidP="00EC210E">
      <w:pPr>
        <w:pStyle w:val="Default"/>
        <w:numPr>
          <w:ilvl w:val="0"/>
          <w:numId w:val="1"/>
        </w:numPr>
        <w:rPr>
          <w:rFonts w:ascii="Arial" w:hAnsi="Arial" w:cs="Arial"/>
        </w:rPr>
      </w:pPr>
      <w:r>
        <w:rPr>
          <w:rFonts w:ascii="Arial" w:hAnsi="Arial" w:cs="Arial"/>
        </w:rPr>
        <w:t xml:space="preserve">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 </w:t>
      </w:r>
    </w:p>
    <w:p w14:paraId="4F530CD1" w14:textId="77777777" w:rsidR="00EC210E" w:rsidRDefault="00EC210E" w:rsidP="00EC210E">
      <w:pPr>
        <w:pStyle w:val="Default"/>
        <w:rPr>
          <w:rFonts w:ascii="Arial" w:hAnsi="Arial" w:cs="Arial"/>
        </w:rPr>
      </w:pPr>
    </w:p>
    <w:p w14:paraId="401F9BC5" w14:textId="77777777" w:rsidR="00EC210E" w:rsidRDefault="00EC210E" w:rsidP="00EC210E">
      <w:pPr>
        <w:pStyle w:val="Default"/>
        <w:numPr>
          <w:ilvl w:val="0"/>
          <w:numId w:val="1"/>
        </w:numPr>
        <w:rPr>
          <w:rFonts w:ascii="Arial" w:hAnsi="Arial" w:cs="Arial"/>
        </w:rPr>
      </w:pPr>
      <w:r>
        <w:rPr>
          <w:rFonts w:ascii="Arial" w:hAnsi="Arial" w:cs="Arial"/>
        </w:rPr>
        <w:t xml:space="preserve">In the past, student and faculty have found that non-course related use of laptop computers and hand-held electronic devices during class to be distracting and at times disruptive. Consequently, during class students are expected to only use such devices for taking notes and other activities directly related to the lecture or class activity taking place. </w:t>
      </w:r>
    </w:p>
    <w:p w14:paraId="17A7B959" w14:textId="77777777" w:rsidR="00EC210E" w:rsidRDefault="00EC210E" w:rsidP="00EC210E">
      <w:pPr>
        <w:pStyle w:val="Default"/>
        <w:rPr>
          <w:rFonts w:ascii="Arial" w:hAnsi="Arial" w:cs="Arial"/>
        </w:rPr>
      </w:pPr>
    </w:p>
    <w:p w14:paraId="187E4A93" w14:textId="77777777" w:rsidR="00EC210E" w:rsidRDefault="00EC210E" w:rsidP="00EC210E">
      <w:pPr>
        <w:pStyle w:val="Default"/>
        <w:numPr>
          <w:ilvl w:val="0"/>
          <w:numId w:val="1"/>
        </w:numPr>
        <w:rPr>
          <w:rFonts w:ascii="Arial" w:hAnsi="Arial" w:cs="Arial"/>
        </w:rPr>
      </w:pPr>
      <w:r>
        <w:rPr>
          <w:rFonts w:ascii="Arial" w:hAnsi="Arial" w:cs="Arial"/>
        </w:rPr>
        <w:lastRenderedPageBreak/>
        <w:t xml:space="preserve">Audio or video recording in the classroom without permission of the instructor is strictly prohibited. </w:t>
      </w:r>
    </w:p>
    <w:p w14:paraId="3FFFA891" w14:textId="73B4CA72" w:rsidR="00EC210E" w:rsidRDefault="00EC210E" w:rsidP="00EC210E">
      <w:pPr>
        <w:pStyle w:val="Default"/>
        <w:rPr>
          <w:rFonts w:ascii="Arial" w:hAnsi="Arial" w:cs="Arial"/>
          <w:b/>
          <w:bCs/>
        </w:rPr>
      </w:pPr>
    </w:p>
    <w:p w14:paraId="79C76ACD" w14:textId="77777777" w:rsidR="003404C1" w:rsidRDefault="003404C1" w:rsidP="00EC210E">
      <w:pPr>
        <w:pStyle w:val="Default"/>
        <w:rPr>
          <w:rFonts w:ascii="Arial" w:hAnsi="Arial" w:cs="Arial"/>
          <w:b/>
          <w:bCs/>
        </w:rPr>
      </w:pPr>
    </w:p>
    <w:p w14:paraId="4DF2A13C" w14:textId="77777777" w:rsidR="00EC210E" w:rsidRDefault="00EC210E" w:rsidP="00EC210E">
      <w:pPr>
        <w:pStyle w:val="Heading2"/>
        <w:rPr>
          <w:rFonts w:eastAsia="Calibri"/>
        </w:rPr>
      </w:pPr>
      <w:bookmarkStart w:id="8" w:name="_Toc501099545"/>
      <w:r>
        <w:rPr>
          <w:rFonts w:eastAsia="Calibri"/>
        </w:rPr>
        <w:t>Form and Style</w:t>
      </w:r>
      <w:bookmarkEnd w:id="8"/>
      <w:r>
        <w:rPr>
          <w:rFonts w:eastAsia="Calibri"/>
        </w:rPr>
        <w:t xml:space="preserve"> </w:t>
      </w:r>
    </w:p>
    <w:p w14:paraId="70205D7A" w14:textId="77777777" w:rsidR="00EC210E" w:rsidRDefault="00EC210E" w:rsidP="00EC210E">
      <w:pPr>
        <w:rPr>
          <w:rFonts w:eastAsia="Calibri" w:cs="Arial"/>
          <w:szCs w:val="24"/>
        </w:rPr>
      </w:pPr>
    </w:p>
    <w:p w14:paraId="24AEF3A1" w14:textId="77777777" w:rsidR="00EC210E" w:rsidRDefault="00EC210E" w:rsidP="00EC210E">
      <w:pPr>
        <w:pStyle w:val="ListParagraph"/>
        <w:numPr>
          <w:ilvl w:val="0"/>
          <w:numId w:val="2"/>
        </w:numPr>
        <w:autoSpaceDE w:val="0"/>
        <w:autoSpaceDN w:val="0"/>
        <w:adjustRightInd w:val="0"/>
        <w:rPr>
          <w:rFonts w:ascii="Arial" w:hAnsi="Arial" w:cs="Arial"/>
          <w:b w:val="0"/>
          <w:color w:val="000000"/>
          <w:sz w:val="24"/>
          <w:szCs w:val="24"/>
        </w:rPr>
      </w:pPr>
      <w:r>
        <w:rPr>
          <w:rFonts w:ascii="Arial" w:hAnsi="Arial" w:cs="Arial"/>
          <w:b w:val="0"/>
          <w:color w:val="000000"/>
          <w:sz w:val="24"/>
          <w:szCs w:val="24"/>
        </w:rPr>
        <w:t xml:space="preserve">Written assignments must be typed and double-spaced and submitted with a front page containing the title, student’s name, student number, and the date. Number all pages (except title page). </w:t>
      </w:r>
    </w:p>
    <w:p w14:paraId="66C526F3" w14:textId="77777777" w:rsidR="00EC210E" w:rsidRDefault="00EC210E" w:rsidP="00EC210E">
      <w:pPr>
        <w:pStyle w:val="ListParagraph"/>
        <w:autoSpaceDE w:val="0"/>
        <w:autoSpaceDN w:val="0"/>
        <w:adjustRightInd w:val="0"/>
        <w:rPr>
          <w:rFonts w:ascii="Arial" w:hAnsi="Arial" w:cs="Arial"/>
          <w:b w:val="0"/>
          <w:color w:val="000000"/>
          <w:sz w:val="24"/>
          <w:szCs w:val="24"/>
        </w:rPr>
      </w:pPr>
    </w:p>
    <w:p w14:paraId="68CA4250" w14:textId="468DA60B" w:rsidR="00EC210E" w:rsidRPr="003404C1" w:rsidRDefault="00EC210E" w:rsidP="003404C1">
      <w:pPr>
        <w:pStyle w:val="ListParagraph"/>
        <w:numPr>
          <w:ilvl w:val="0"/>
          <w:numId w:val="2"/>
        </w:numPr>
        <w:autoSpaceDE w:val="0"/>
        <w:autoSpaceDN w:val="0"/>
        <w:adjustRightInd w:val="0"/>
        <w:rPr>
          <w:rFonts w:ascii="Arial" w:hAnsi="Arial" w:cs="Arial"/>
          <w:b w:val="0"/>
          <w:color w:val="000000"/>
          <w:sz w:val="24"/>
          <w:szCs w:val="24"/>
        </w:rPr>
      </w:pPr>
      <w:r>
        <w:rPr>
          <w:rFonts w:ascii="Arial" w:hAnsi="Arial" w:cs="Arial"/>
          <w:b w:val="0"/>
          <w:color w:val="000000"/>
          <w:sz w:val="24"/>
          <w:szCs w:val="24"/>
        </w:rPr>
        <w:t xml:space="preserve">Assignments should be stapled together. Please do NOT use plastic report covers or binders. </w:t>
      </w:r>
    </w:p>
    <w:p w14:paraId="325EDADE" w14:textId="77777777" w:rsidR="00EC210E" w:rsidRDefault="00EC210E" w:rsidP="00EC210E">
      <w:pPr>
        <w:pStyle w:val="ListParagraph"/>
        <w:autoSpaceDE w:val="0"/>
        <w:autoSpaceDN w:val="0"/>
        <w:adjustRightInd w:val="0"/>
        <w:rPr>
          <w:rFonts w:ascii="Arial" w:hAnsi="Arial" w:cs="Arial"/>
          <w:b w:val="0"/>
          <w:color w:val="000000"/>
          <w:sz w:val="24"/>
          <w:szCs w:val="24"/>
        </w:rPr>
      </w:pPr>
    </w:p>
    <w:p w14:paraId="7BFF4E63" w14:textId="77777777" w:rsidR="00EC210E" w:rsidRDefault="00EC210E" w:rsidP="00EC210E">
      <w:pPr>
        <w:pStyle w:val="ListParagraph"/>
        <w:numPr>
          <w:ilvl w:val="0"/>
          <w:numId w:val="2"/>
        </w:numPr>
        <w:autoSpaceDE w:val="0"/>
        <w:autoSpaceDN w:val="0"/>
        <w:adjustRightInd w:val="0"/>
        <w:rPr>
          <w:rFonts w:ascii="Arial" w:hAnsi="Arial" w:cs="Arial"/>
          <w:b w:val="0"/>
          <w:color w:val="000000"/>
          <w:sz w:val="24"/>
          <w:szCs w:val="24"/>
        </w:rPr>
      </w:pPr>
      <w:r>
        <w:rPr>
          <w:rFonts w:ascii="Arial" w:hAnsi="Arial" w:cs="Arial"/>
          <w:b w:val="0"/>
          <w:color w:val="000000"/>
          <w:sz w:val="24"/>
          <w:szCs w:val="24"/>
        </w:rPr>
        <w:t xml:space="preserve">Paper format must be in accordance with the current edition of American Psychological Association (APA) publication manual with particular attention paid to font size (Times-Roman 12), spacing (double spaced) and margins (minimum of 1 inch at the top, bottom, left and right of each page) as papers not meeting these requirements will not be accepted for grading. </w:t>
      </w:r>
    </w:p>
    <w:p w14:paraId="0C6F20B5" w14:textId="77777777" w:rsidR="00EC210E" w:rsidRDefault="00EC210E" w:rsidP="00EC210E">
      <w:pPr>
        <w:pStyle w:val="ListParagraph"/>
        <w:autoSpaceDE w:val="0"/>
        <w:autoSpaceDN w:val="0"/>
        <w:adjustRightInd w:val="0"/>
        <w:rPr>
          <w:rFonts w:ascii="Arial" w:hAnsi="Arial" w:cs="Arial"/>
          <w:b w:val="0"/>
          <w:color w:val="000000"/>
          <w:sz w:val="24"/>
          <w:szCs w:val="24"/>
        </w:rPr>
      </w:pPr>
    </w:p>
    <w:p w14:paraId="1E46733B" w14:textId="77777777" w:rsidR="00EC210E" w:rsidRDefault="00EC210E" w:rsidP="00EC210E">
      <w:pPr>
        <w:pStyle w:val="ListParagraph"/>
        <w:numPr>
          <w:ilvl w:val="0"/>
          <w:numId w:val="2"/>
        </w:numPr>
        <w:autoSpaceDE w:val="0"/>
        <w:autoSpaceDN w:val="0"/>
        <w:adjustRightInd w:val="0"/>
        <w:rPr>
          <w:rFonts w:ascii="Arial" w:hAnsi="Arial" w:cs="Arial"/>
          <w:b w:val="0"/>
          <w:color w:val="000000"/>
          <w:sz w:val="24"/>
          <w:szCs w:val="24"/>
        </w:rPr>
      </w:pPr>
      <w:r>
        <w:rPr>
          <w:rFonts w:ascii="Arial" w:hAnsi="Arial" w:cs="Arial"/>
          <w:b w:val="0"/>
          <w:color w:val="000000"/>
          <w:sz w:val="24"/>
          <w:szCs w:val="24"/>
        </w:rPr>
        <w:t xml:space="preserve">Students are expected to make use of relevant professional and social science literature and other bodies of knowledge in their term assignments. When submitting, please keep a spare copy of your assignments. </w:t>
      </w:r>
    </w:p>
    <w:p w14:paraId="0FBF701C" w14:textId="77777777" w:rsidR="00EC210E" w:rsidRDefault="00EC210E" w:rsidP="00EC210E">
      <w:pPr>
        <w:pStyle w:val="Heading2"/>
        <w:rPr>
          <w:rFonts w:eastAsia="Calibri"/>
        </w:rPr>
      </w:pPr>
    </w:p>
    <w:p w14:paraId="3E3C9533" w14:textId="77777777" w:rsidR="00EC210E" w:rsidRDefault="00EC210E" w:rsidP="00EC210E">
      <w:pPr>
        <w:pStyle w:val="Heading2"/>
        <w:rPr>
          <w:rFonts w:eastAsia="Calibri"/>
        </w:rPr>
      </w:pPr>
      <w:bookmarkStart w:id="9" w:name="_Toc501099546"/>
      <w:r>
        <w:rPr>
          <w:rFonts w:eastAsia="Calibri"/>
        </w:rPr>
        <w:t>Course Format</w:t>
      </w:r>
      <w:bookmarkEnd w:id="9"/>
    </w:p>
    <w:p w14:paraId="353493C1" w14:textId="77777777" w:rsidR="00EC210E" w:rsidRDefault="00EC210E" w:rsidP="00EC210E">
      <w:pPr>
        <w:spacing w:line="276" w:lineRule="auto"/>
      </w:pPr>
    </w:p>
    <w:p w14:paraId="3D151EDE" w14:textId="77777777" w:rsidR="00EC210E" w:rsidRDefault="00EC210E" w:rsidP="00EC210E">
      <w:pPr>
        <w:spacing w:line="276" w:lineRule="auto"/>
        <w:rPr>
          <w:b w:val="0"/>
        </w:rPr>
      </w:pPr>
      <w:r>
        <w:rPr>
          <w:b w:val="0"/>
        </w:rPr>
        <w:t xml:space="preserve">This course is organized as a series of seminars. It is to create a participatory, dialogical and collaborative environment for collective &amp; mutual learning. </w:t>
      </w:r>
    </w:p>
    <w:p w14:paraId="6E4DF6A0" w14:textId="77777777" w:rsidR="00EC210E" w:rsidRDefault="00EC210E" w:rsidP="00EC210E">
      <w:pPr>
        <w:spacing w:line="276" w:lineRule="auto"/>
        <w:rPr>
          <w:b w:val="0"/>
        </w:rPr>
      </w:pPr>
    </w:p>
    <w:p w14:paraId="3FFB3902" w14:textId="77777777" w:rsidR="00EC210E" w:rsidRDefault="00EC210E" w:rsidP="00EC210E">
      <w:pPr>
        <w:spacing w:line="276" w:lineRule="auto"/>
        <w:rPr>
          <w:b w:val="0"/>
        </w:rPr>
      </w:pPr>
      <w:r>
        <w:rPr>
          <w:b w:val="0"/>
        </w:rPr>
        <w:t xml:space="preserve">As adult learners, students are encouraged to think critically and connect classroom discussion with their own personal, professional and political experiences as researchers. Students are also expected to take responsibility as active participants throughout this learning process. </w:t>
      </w:r>
    </w:p>
    <w:p w14:paraId="23C6D653" w14:textId="77777777" w:rsidR="00EC210E" w:rsidRDefault="00EC210E" w:rsidP="00EC210E">
      <w:pPr>
        <w:spacing w:line="276" w:lineRule="auto"/>
        <w:rPr>
          <w:b w:val="0"/>
        </w:rPr>
      </w:pPr>
    </w:p>
    <w:p w14:paraId="1E18E467" w14:textId="77777777" w:rsidR="00EC210E" w:rsidRDefault="00EC210E" w:rsidP="00EC210E">
      <w:pPr>
        <w:tabs>
          <w:tab w:val="left" w:pos="720"/>
        </w:tabs>
        <w:spacing w:line="276" w:lineRule="auto"/>
        <w:rPr>
          <w:b w:val="0"/>
        </w:rPr>
      </w:pPr>
      <w:r>
        <w:rPr>
          <w:b w:val="0"/>
        </w:rPr>
        <w:t>The bulk of each class meeting will be used to clarify, discuss, and critically examine the readings. Participants are expected to take responsibility for summarizing the key themes of the articles, identifying theoretical and practical issues, and reflecting on their own experiences of research.</w:t>
      </w:r>
    </w:p>
    <w:p w14:paraId="3BFF0A60" w14:textId="77777777" w:rsidR="00EC210E" w:rsidRDefault="00EC210E" w:rsidP="00EC210E">
      <w:pPr>
        <w:tabs>
          <w:tab w:val="left" w:pos="720"/>
        </w:tabs>
        <w:spacing w:line="276" w:lineRule="auto"/>
        <w:rPr>
          <w:b w:val="0"/>
        </w:rPr>
      </w:pPr>
    </w:p>
    <w:p w14:paraId="423DDF3D" w14:textId="77777777" w:rsidR="00EC210E" w:rsidRDefault="00EC210E" w:rsidP="00EC210E">
      <w:pPr>
        <w:tabs>
          <w:tab w:val="left" w:pos="720"/>
        </w:tabs>
        <w:spacing w:line="276" w:lineRule="auto"/>
        <w:rPr>
          <w:b w:val="0"/>
        </w:rPr>
      </w:pPr>
      <w:r>
        <w:rPr>
          <w:b w:val="0"/>
        </w:rPr>
        <w:t xml:space="preserve"> As every member of the class will bring in different perspectives and experiences, students and teacher are all understood as co-learners. Discussion should be </w:t>
      </w:r>
      <w:r>
        <w:rPr>
          <w:b w:val="0"/>
        </w:rPr>
        <w:lastRenderedPageBreak/>
        <w:t>conducted in a supportive and respectful manner and aim at enhancing one another’s intellectual and professional development.</w:t>
      </w:r>
    </w:p>
    <w:p w14:paraId="5AAA033F" w14:textId="77777777" w:rsidR="00EC210E" w:rsidRDefault="00EC210E" w:rsidP="00EC210E">
      <w:pPr>
        <w:pStyle w:val="Heading2"/>
        <w:rPr>
          <w:rFonts w:eastAsia="Calibri"/>
        </w:rPr>
      </w:pPr>
    </w:p>
    <w:p w14:paraId="474B6ACB" w14:textId="77777777" w:rsidR="00EC210E" w:rsidRDefault="00EC210E" w:rsidP="00EC210E">
      <w:pPr>
        <w:pStyle w:val="Heading2"/>
        <w:rPr>
          <w:rFonts w:eastAsia="Calibri"/>
        </w:rPr>
      </w:pPr>
    </w:p>
    <w:p w14:paraId="334CBE98" w14:textId="77777777" w:rsidR="00EC210E" w:rsidRDefault="00EC210E" w:rsidP="00EC210E">
      <w:pPr>
        <w:pStyle w:val="Heading2"/>
        <w:rPr>
          <w:rFonts w:eastAsia="Calibri"/>
        </w:rPr>
      </w:pPr>
      <w:bookmarkStart w:id="10" w:name="_Toc501099547"/>
      <w:r>
        <w:rPr>
          <w:rFonts w:eastAsia="Calibri"/>
        </w:rPr>
        <w:t>Submission Dates &amp; Grading</w:t>
      </w:r>
      <w:bookmarkEnd w:id="10"/>
      <w:r>
        <w:rPr>
          <w:rFonts w:eastAsia="Calibri"/>
        </w:rPr>
        <w:t xml:space="preserve"> </w:t>
      </w:r>
    </w:p>
    <w:p w14:paraId="2238A6AF" w14:textId="77777777" w:rsidR="00EC210E" w:rsidRDefault="00EC210E" w:rsidP="00EC210E"/>
    <w:p w14:paraId="725F5CC4" w14:textId="77777777" w:rsidR="00EC210E" w:rsidRDefault="00EC210E" w:rsidP="00EC210E">
      <w:pPr>
        <w:rPr>
          <w:b w:val="0"/>
        </w:rPr>
      </w:pPr>
      <w:r>
        <w:rPr>
          <w:b w:val="0"/>
        </w:rPr>
        <w:t>Grades for the course will be based on the fulfillment of the following requirements:</w:t>
      </w:r>
    </w:p>
    <w:p w14:paraId="4F76B932" w14:textId="77777777" w:rsidR="00EC210E" w:rsidRDefault="00EC210E" w:rsidP="00EC210E">
      <w:pPr>
        <w:rPr>
          <w:b w:val="0"/>
        </w:rPr>
      </w:pPr>
    </w:p>
    <w:p w14:paraId="18ABA5E2" w14:textId="311BA58F" w:rsidR="00EC210E" w:rsidRPr="00D57E4F" w:rsidRDefault="00D57E4F" w:rsidP="00EC210E">
      <w:pPr>
        <w:pStyle w:val="ListParagraph"/>
        <w:numPr>
          <w:ilvl w:val="0"/>
          <w:numId w:val="3"/>
        </w:numPr>
        <w:rPr>
          <w:rFonts w:ascii="Arial" w:hAnsi="Arial" w:cs="Arial"/>
          <w:b w:val="0"/>
          <w:bCs/>
          <w:sz w:val="24"/>
          <w:szCs w:val="24"/>
        </w:rPr>
      </w:pPr>
      <w:r>
        <w:rPr>
          <w:rFonts w:ascii="Arial" w:hAnsi="Arial" w:cs="Arial"/>
          <w:b w:val="0"/>
          <w:bCs/>
          <w:sz w:val="24"/>
          <w:szCs w:val="24"/>
        </w:rPr>
        <w:t>Presentation</w:t>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sidR="00522E87" w:rsidRPr="00D57E4F">
        <w:rPr>
          <w:rFonts w:ascii="Arial" w:hAnsi="Arial" w:cs="Arial"/>
          <w:b w:val="0"/>
          <w:bCs/>
          <w:sz w:val="24"/>
          <w:szCs w:val="24"/>
        </w:rPr>
        <w:t>20</w:t>
      </w:r>
      <w:r w:rsidR="00EC210E" w:rsidRPr="00D57E4F">
        <w:rPr>
          <w:rFonts w:ascii="Arial" w:hAnsi="Arial" w:cs="Arial"/>
          <w:b w:val="0"/>
          <w:bCs/>
          <w:sz w:val="24"/>
          <w:szCs w:val="24"/>
        </w:rPr>
        <w:t>%</w:t>
      </w:r>
    </w:p>
    <w:p w14:paraId="0C07861A" w14:textId="0CCC9F19" w:rsidR="00EC210E" w:rsidRPr="00D57E4F" w:rsidRDefault="00EC210E" w:rsidP="00EC210E">
      <w:pPr>
        <w:pStyle w:val="ListParagraph"/>
        <w:numPr>
          <w:ilvl w:val="0"/>
          <w:numId w:val="3"/>
        </w:numPr>
        <w:rPr>
          <w:rFonts w:ascii="Arial" w:hAnsi="Arial" w:cs="Arial"/>
          <w:b w:val="0"/>
          <w:bCs/>
          <w:sz w:val="24"/>
          <w:szCs w:val="24"/>
        </w:rPr>
      </w:pPr>
      <w:r w:rsidRPr="00D57E4F">
        <w:rPr>
          <w:rFonts w:ascii="Arial" w:hAnsi="Arial" w:cs="Arial"/>
          <w:b w:val="0"/>
          <w:bCs/>
          <w:sz w:val="24"/>
          <w:szCs w:val="24"/>
        </w:rPr>
        <w:t>Community Leadership and</w:t>
      </w:r>
      <w:r w:rsidR="00522E87" w:rsidRPr="00D57E4F">
        <w:rPr>
          <w:rFonts w:ascii="Arial" w:hAnsi="Arial" w:cs="Arial"/>
          <w:b w:val="0"/>
          <w:bCs/>
          <w:sz w:val="24"/>
          <w:szCs w:val="24"/>
        </w:rPr>
        <w:t xml:space="preserve"> Involvement Proposal</w:t>
      </w:r>
      <w:r w:rsidR="00D57E4F">
        <w:rPr>
          <w:rFonts w:ascii="Arial" w:hAnsi="Arial" w:cs="Arial"/>
          <w:b w:val="0"/>
          <w:bCs/>
          <w:sz w:val="24"/>
          <w:szCs w:val="24"/>
        </w:rPr>
        <w:tab/>
      </w:r>
      <w:r w:rsidR="00522E87" w:rsidRPr="00D57E4F">
        <w:rPr>
          <w:rFonts w:ascii="Arial" w:hAnsi="Arial" w:cs="Arial"/>
          <w:b w:val="0"/>
          <w:bCs/>
          <w:sz w:val="24"/>
          <w:szCs w:val="24"/>
        </w:rPr>
        <w:t>30</w:t>
      </w:r>
      <w:r w:rsidRPr="00D57E4F">
        <w:rPr>
          <w:rFonts w:ascii="Arial" w:hAnsi="Arial" w:cs="Arial"/>
          <w:b w:val="0"/>
          <w:bCs/>
          <w:sz w:val="24"/>
          <w:szCs w:val="24"/>
        </w:rPr>
        <w:t>%</w:t>
      </w:r>
    </w:p>
    <w:p w14:paraId="17B0535D" w14:textId="4593CC62" w:rsidR="00EC210E" w:rsidRPr="00D57E4F" w:rsidRDefault="00EC210E" w:rsidP="00EC210E">
      <w:pPr>
        <w:pStyle w:val="ListParagraph"/>
        <w:numPr>
          <w:ilvl w:val="0"/>
          <w:numId w:val="3"/>
        </w:numPr>
        <w:spacing w:after="0" w:line="240" w:lineRule="auto"/>
        <w:rPr>
          <w:rFonts w:ascii="Arial" w:hAnsi="Arial" w:cs="Arial"/>
          <w:b w:val="0"/>
          <w:bCs/>
          <w:sz w:val="24"/>
          <w:szCs w:val="24"/>
        </w:rPr>
      </w:pPr>
      <w:r w:rsidRPr="00D57E4F">
        <w:rPr>
          <w:rFonts w:ascii="Arial" w:hAnsi="Arial" w:cs="Arial"/>
          <w:b w:val="0"/>
          <w:bCs/>
          <w:sz w:val="24"/>
          <w:szCs w:val="24"/>
        </w:rPr>
        <w:t>Final Paper</w:t>
      </w:r>
      <w:r w:rsidRPr="00D57E4F">
        <w:rPr>
          <w:rFonts w:ascii="Arial" w:hAnsi="Arial" w:cs="Arial"/>
          <w:b w:val="0"/>
          <w:bCs/>
          <w:sz w:val="24"/>
          <w:szCs w:val="24"/>
        </w:rPr>
        <w:tab/>
      </w:r>
      <w:r w:rsidRPr="00D57E4F">
        <w:rPr>
          <w:rFonts w:ascii="Arial" w:hAnsi="Arial" w:cs="Arial"/>
          <w:b w:val="0"/>
          <w:bCs/>
          <w:sz w:val="24"/>
          <w:szCs w:val="24"/>
        </w:rPr>
        <w:tab/>
      </w:r>
      <w:r w:rsidRPr="00D57E4F">
        <w:rPr>
          <w:rFonts w:ascii="Arial" w:hAnsi="Arial" w:cs="Arial"/>
          <w:b w:val="0"/>
          <w:bCs/>
          <w:sz w:val="24"/>
          <w:szCs w:val="24"/>
        </w:rPr>
        <w:tab/>
      </w:r>
      <w:r w:rsidRPr="00D57E4F">
        <w:rPr>
          <w:rFonts w:ascii="Arial" w:hAnsi="Arial" w:cs="Arial"/>
          <w:b w:val="0"/>
          <w:bCs/>
          <w:sz w:val="24"/>
          <w:szCs w:val="24"/>
        </w:rPr>
        <w:tab/>
      </w:r>
      <w:r w:rsidRPr="00D57E4F">
        <w:rPr>
          <w:rFonts w:ascii="Arial" w:hAnsi="Arial" w:cs="Arial"/>
          <w:b w:val="0"/>
          <w:bCs/>
          <w:sz w:val="24"/>
          <w:szCs w:val="24"/>
        </w:rPr>
        <w:tab/>
        <w:t xml:space="preserve">                   </w:t>
      </w:r>
      <w:r w:rsidR="00D57E4F">
        <w:rPr>
          <w:rFonts w:ascii="Arial" w:hAnsi="Arial" w:cs="Arial"/>
          <w:b w:val="0"/>
          <w:bCs/>
          <w:sz w:val="24"/>
          <w:szCs w:val="24"/>
        </w:rPr>
        <w:tab/>
      </w:r>
      <w:r w:rsidRPr="00D57E4F">
        <w:rPr>
          <w:rFonts w:ascii="Arial" w:hAnsi="Arial" w:cs="Arial"/>
          <w:b w:val="0"/>
          <w:bCs/>
          <w:sz w:val="24"/>
          <w:szCs w:val="24"/>
        </w:rPr>
        <w:t>50%</w:t>
      </w:r>
    </w:p>
    <w:p w14:paraId="33C567D2" w14:textId="6F7F5DE4" w:rsidR="001A70D5" w:rsidRDefault="001A70D5" w:rsidP="001A70D5">
      <w:pPr>
        <w:rPr>
          <w:b w:val="0"/>
          <w:bCs/>
          <w:szCs w:val="24"/>
        </w:rPr>
      </w:pPr>
    </w:p>
    <w:p w14:paraId="0441D7DD" w14:textId="77777777" w:rsidR="001A70D5" w:rsidRPr="001A70D5" w:rsidRDefault="001A70D5" w:rsidP="001A70D5">
      <w:pPr>
        <w:rPr>
          <w:b w:val="0"/>
          <w:bCs/>
          <w:szCs w:val="24"/>
        </w:rPr>
      </w:pPr>
    </w:p>
    <w:p w14:paraId="2392D0A0" w14:textId="4FD54E8D" w:rsidR="00EC210E" w:rsidRPr="003404C1" w:rsidRDefault="00EC210E" w:rsidP="003404C1">
      <w:pPr>
        <w:rPr>
          <w:lang w:val="en-CA"/>
        </w:rPr>
      </w:pPr>
      <w:r>
        <w:t xml:space="preserve">Privacy Protection </w:t>
      </w:r>
    </w:p>
    <w:p w14:paraId="525A4FF5" w14:textId="77777777" w:rsidR="00EC210E" w:rsidRDefault="00EC210E" w:rsidP="00EC210E">
      <w:pPr>
        <w:pStyle w:val="Default"/>
        <w:rPr>
          <w:rFonts w:ascii="Arial" w:hAnsi="Arial" w:cs="Arial"/>
        </w:rPr>
      </w:pPr>
      <w:r>
        <w:rPr>
          <w:rFonts w:ascii="Arial" w:hAnsi="Arial"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5 digits of the student number as the identifying data. The following possibilities exist for return of graded materials: </w:t>
      </w:r>
    </w:p>
    <w:p w14:paraId="6DBA4EEE" w14:textId="77777777" w:rsidR="00EC210E" w:rsidRDefault="00EC210E" w:rsidP="00EC210E">
      <w:pPr>
        <w:pStyle w:val="Default"/>
        <w:rPr>
          <w:rFonts w:ascii="Arial" w:hAnsi="Arial" w:cs="Arial"/>
        </w:rPr>
      </w:pPr>
    </w:p>
    <w:p w14:paraId="1F72F401" w14:textId="77777777" w:rsidR="00EC210E" w:rsidRDefault="00EC210E" w:rsidP="00EC210E">
      <w:pPr>
        <w:pStyle w:val="Default"/>
        <w:numPr>
          <w:ilvl w:val="0"/>
          <w:numId w:val="4"/>
        </w:numPr>
        <w:rPr>
          <w:rFonts w:ascii="Arial" w:hAnsi="Arial" w:cs="Arial"/>
        </w:rPr>
      </w:pPr>
      <w:r>
        <w:rPr>
          <w:rFonts w:ascii="Arial" w:hAnsi="Arial" w:cs="Arial"/>
        </w:rPr>
        <w:t xml:space="preserve">Direct return of materials to students in class; </w:t>
      </w:r>
    </w:p>
    <w:p w14:paraId="18078170" w14:textId="77777777" w:rsidR="00EC210E" w:rsidRDefault="00EC210E" w:rsidP="00EC210E">
      <w:pPr>
        <w:pStyle w:val="Default"/>
        <w:numPr>
          <w:ilvl w:val="0"/>
          <w:numId w:val="4"/>
        </w:numPr>
        <w:rPr>
          <w:rFonts w:ascii="Arial" w:hAnsi="Arial" w:cs="Arial"/>
        </w:rPr>
      </w:pPr>
      <w:r>
        <w:rPr>
          <w:rFonts w:ascii="Arial" w:hAnsi="Arial" w:cs="Arial"/>
        </w:rPr>
        <w:t xml:space="preserve">Return of materials to students during office hours; </w:t>
      </w:r>
    </w:p>
    <w:p w14:paraId="72FD6C91" w14:textId="77777777" w:rsidR="00EC210E" w:rsidRDefault="00EC210E" w:rsidP="00EC210E">
      <w:pPr>
        <w:pStyle w:val="Default"/>
        <w:numPr>
          <w:ilvl w:val="0"/>
          <w:numId w:val="4"/>
        </w:numPr>
        <w:rPr>
          <w:rFonts w:ascii="Arial" w:hAnsi="Arial" w:cs="Arial"/>
        </w:rPr>
      </w:pPr>
      <w:r>
        <w:rPr>
          <w:rFonts w:ascii="Arial" w:hAnsi="Arial" w:cs="Arial"/>
        </w:rPr>
        <w:t xml:space="preserve">Students attach a stamped, self-addressed envelope with assignments for return by mail; </w:t>
      </w:r>
    </w:p>
    <w:p w14:paraId="7F3AF06E" w14:textId="77777777" w:rsidR="00EC210E" w:rsidRDefault="00EC210E" w:rsidP="00EC210E">
      <w:pPr>
        <w:pStyle w:val="Default"/>
        <w:numPr>
          <w:ilvl w:val="0"/>
          <w:numId w:val="4"/>
        </w:numPr>
        <w:rPr>
          <w:rFonts w:ascii="Arial" w:hAnsi="Arial" w:cs="Arial"/>
        </w:rPr>
      </w:pPr>
      <w:r>
        <w:rPr>
          <w:rFonts w:ascii="Arial" w:hAnsi="Arial" w:cs="Arial"/>
        </w:rPr>
        <w:t xml:space="preserve">Submit/grade/return papers electronically. </w:t>
      </w:r>
    </w:p>
    <w:p w14:paraId="1326B29C" w14:textId="77777777" w:rsidR="00EC210E" w:rsidRDefault="00EC210E" w:rsidP="00EC210E">
      <w:pPr>
        <w:pStyle w:val="Default"/>
        <w:rPr>
          <w:rFonts w:ascii="Arial" w:hAnsi="Arial" w:cs="Arial"/>
        </w:rPr>
      </w:pPr>
    </w:p>
    <w:p w14:paraId="4E9ECDE2" w14:textId="77777777" w:rsidR="00EC210E" w:rsidRDefault="00EC210E" w:rsidP="00EC210E">
      <w:pPr>
        <w:pStyle w:val="Default"/>
        <w:rPr>
          <w:rFonts w:ascii="Arial" w:hAnsi="Arial" w:cs="Arial"/>
        </w:rPr>
      </w:pPr>
      <w:r>
        <w:rPr>
          <w:rFonts w:ascii="Arial" w:hAnsi="Arial" w:cs="Arial"/>
        </w:rPr>
        <w:t xml:space="preserve">Arrangements for the return of assignments from the options above will be finalized during the first class. </w:t>
      </w:r>
    </w:p>
    <w:p w14:paraId="3D4D2E52" w14:textId="45336059" w:rsidR="00EC210E" w:rsidRDefault="00EC210E" w:rsidP="00EC210E">
      <w:pPr>
        <w:pStyle w:val="Default"/>
        <w:rPr>
          <w:rFonts w:ascii="Arial" w:hAnsi="Arial" w:cs="Arial"/>
          <w:b/>
          <w:bCs/>
        </w:rPr>
      </w:pPr>
    </w:p>
    <w:p w14:paraId="5F040A1A" w14:textId="77777777" w:rsidR="003404C1" w:rsidRDefault="003404C1" w:rsidP="00EC210E">
      <w:pPr>
        <w:pStyle w:val="Default"/>
        <w:rPr>
          <w:rFonts w:ascii="Arial" w:hAnsi="Arial" w:cs="Arial"/>
          <w:b/>
          <w:bCs/>
        </w:rPr>
      </w:pPr>
    </w:p>
    <w:p w14:paraId="54F6C3C0" w14:textId="77777777" w:rsidR="00EC210E" w:rsidRDefault="00EC210E" w:rsidP="00EC210E">
      <w:pPr>
        <w:pStyle w:val="Heading2"/>
      </w:pPr>
      <w:bookmarkStart w:id="11" w:name="_Toc501099548"/>
      <w:r>
        <w:t>Academic Integrity</w:t>
      </w:r>
      <w:bookmarkEnd w:id="11"/>
      <w:r>
        <w:t xml:space="preserve"> </w:t>
      </w:r>
    </w:p>
    <w:p w14:paraId="19C06CED" w14:textId="77777777" w:rsidR="00EC210E" w:rsidRDefault="00EC210E" w:rsidP="00EC210E">
      <w:pPr>
        <w:pStyle w:val="Default"/>
        <w:rPr>
          <w:rFonts w:ascii="Arial" w:hAnsi="Arial" w:cs="Arial"/>
          <w:color w:val="auto"/>
        </w:rPr>
      </w:pPr>
      <w:r>
        <w:rPr>
          <w:rFonts w:ascii="Arial" w:hAnsi="Arial" w:cs="Arial"/>
        </w:rPr>
        <w:t>You are expected to exhibit honesty and use ethical behaviour in all aspects of the learning process. Academic credentials you earn are rooted in principles of honesty and academic integrity. Academic dishonesty is to knowingly act or fail to act in a way that result or could result in unearned academic credit or advantage. This behaviour can result in serious consequences, e.g. the grade of zero on an assignment, loss of credit with a notation on the transcript (notation reads: “Grade of F assigned for academic dishonesty”), and/or 6 s</w:t>
      </w:r>
      <w:r>
        <w:rPr>
          <w:rFonts w:ascii="Arial" w:hAnsi="Arial" w:cs="Arial"/>
          <w:color w:val="auto"/>
        </w:rPr>
        <w:t xml:space="preserve">uspension or expulsion from the university. It is the student’s responsibility to understand what constitutes academic dishonesty. For information on the various kinds of academic dishonesty please refer to the Academic Integrity Policy, specifically Appendix 3 at http://www.mcmaster.ca/academicintegrity. The following illustrates only three forms of academic dishonesty: </w:t>
      </w:r>
    </w:p>
    <w:p w14:paraId="061F8137" w14:textId="77777777" w:rsidR="00EC210E" w:rsidRDefault="00EC210E" w:rsidP="00EC210E">
      <w:pPr>
        <w:pStyle w:val="Default"/>
        <w:rPr>
          <w:rFonts w:ascii="Arial" w:hAnsi="Arial" w:cs="Arial"/>
          <w:color w:val="auto"/>
        </w:rPr>
      </w:pPr>
    </w:p>
    <w:p w14:paraId="01ACC88A" w14:textId="77777777" w:rsidR="00EC210E" w:rsidRDefault="00EC210E" w:rsidP="00EC210E">
      <w:pPr>
        <w:pStyle w:val="Default"/>
        <w:numPr>
          <w:ilvl w:val="0"/>
          <w:numId w:val="5"/>
        </w:numPr>
        <w:rPr>
          <w:rFonts w:ascii="Arial" w:hAnsi="Arial" w:cs="Arial"/>
          <w:color w:val="auto"/>
        </w:rPr>
      </w:pPr>
      <w:r>
        <w:rPr>
          <w:rFonts w:ascii="Arial" w:hAnsi="Arial" w:cs="Arial"/>
          <w:color w:val="auto"/>
        </w:rPr>
        <w:lastRenderedPageBreak/>
        <w:t xml:space="preserve">Plagiarism, e.g. the submission of work that is not one’s own or for which other credit has been obtained; </w:t>
      </w:r>
    </w:p>
    <w:p w14:paraId="5C961A64" w14:textId="77777777" w:rsidR="00EC210E" w:rsidRDefault="00EC210E" w:rsidP="00EC210E">
      <w:pPr>
        <w:pStyle w:val="Default"/>
        <w:numPr>
          <w:ilvl w:val="0"/>
          <w:numId w:val="5"/>
        </w:numPr>
        <w:rPr>
          <w:rFonts w:ascii="Arial" w:hAnsi="Arial" w:cs="Arial"/>
          <w:color w:val="auto"/>
        </w:rPr>
      </w:pPr>
      <w:r>
        <w:rPr>
          <w:rFonts w:ascii="Arial" w:hAnsi="Arial" w:cs="Arial"/>
          <w:color w:val="auto"/>
        </w:rPr>
        <w:t xml:space="preserve">Improper collaboration in group work; or </w:t>
      </w:r>
    </w:p>
    <w:p w14:paraId="057F5A62" w14:textId="77777777" w:rsidR="00EC210E" w:rsidRDefault="00EC210E" w:rsidP="00EC210E">
      <w:pPr>
        <w:pStyle w:val="Default"/>
        <w:numPr>
          <w:ilvl w:val="0"/>
          <w:numId w:val="5"/>
        </w:numPr>
        <w:rPr>
          <w:rFonts w:ascii="Arial" w:hAnsi="Arial" w:cs="Arial"/>
          <w:color w:val="auto"/>
        </w:rPr>
      </w:pPr>
      <w:r>
        <w:rPr>
          <w:rFonts w:ascii="Arial" w:hAnsi="Arial" w:cs="Arial"/>
          <w:color w:val="auto"/>
        </w:rPr>
        <w:t xml:space="preserve">Copying or using unauthorized aids in tests and examinations. </w:t>
      </w:r>
    </w:p>
    <w:p w14:paraId="01BB02E0" w14:textId="77777777" w:rsidR="00EC210E" w:rsidRDefault="00EC210E" w:rsidP="00EC210E">
      <w:pPr>
        <w:pStyle w:val="Default"/>
        <w:rPr>
          <w:rFonts w:ascii="Arial" w:hAnsi="Arial" w:cs="Arial"/>
          <w:color w:val="auto"/>
        </w:rPr>
      </w:pPr>
    </w:p>
    <w:p w14:paraId="7E69F15C" w14:textId="77777777" w:rsidR="00EC210E" w:rsidRDefault="00EC210E" w:rsidP="00EC210E">
      <w:pPr>
        <w:pStyle w:val="Default"/>
        <w:rPr>
          <w:rFonts w:ascii="Arial" w:hAnsi="Arial" w:cs="Arial"/>
          <w:color w:val="auto"/>
        </w:rPr>
      </w:pPr>
      <w:r>
        <w:rPr>
          <w:rFonts w:ascii="Arial" w:hAnsi="Arial" w:cs="Arial"/>
          <w:color w:val="auto"/>
        </w:rPr>
        <w:t xml:space="preserve">Academic dishonesty also entails a student having someone sign in for them on a weekly course attendance sheet when they are absent from class and/or a student signing someone in who is known to be absent. </w:t>
      </w:r>
    </w:p>
    <w:p w14:paraId="415D5A26" w14:textId="33EDFA13" w:rsidR="00EC210E" w:rsidRDefault="00EC210E" w:rsidP="00EC210E">
      <w:pPr>
        <w:pStyle w:val="Heading2"/>
        <w:rPr>
          <w:rFonts w:eastAsia="Calibri"/>
        </w:rPr>
      </w:pPr>
    </w:p>
    <w:p w14:paraId="4B9F6E30" w14:textId="77777777" w:rsidR="003404C1" w:rsidRPr="003404C1" w:rsidRDefault="003404C1" w:rsidP="003404C1">
      <w:pPr>
        <w:rPr>
          <w:rFonts w:eastAsia="Calibri"/>
          <w:lang w:val="en-GB"/>
        </w:rPr>
      </w:pPr>
    </w:p>
    <w:p w14:paraId="35583ACC" w14:textId="77777777" w:rsidR="00EC210E" w:rsidRDefault="00EC210E" w:rsidP="00EC210E">
      <w:pPr>
        <w:pStyle w:val="Heading2"/>
        <w:rPr>
          <w:rFonts w:eastAsia="Calibri"/>
        </w:rPr>
      </w:pPr>
      <w:bookmarkStart w:id="12" w:name="_Toc501099549"/>
      <w:r>
        <w:rPr>
          <w:rFonts w:eastAsia="Calibri"/>
        </w:rPr>
        <w:t>Course Modification Policy</w:t>
      </w:r>
      <w:bookmarkEnd w:id="12"/>
    </w:p>
    <w:p w14:paraId="14D47988" w14:textId="0F361808" w:rsidR="00EC210E" w:rsidRDefault="00EC210E" w:rsidP="00EC210E">
      <w:pPr>
        <w:rPr>
          <w:rFonts w:eastAsia="Calibri"/>
          <w:b w:val="0"/>
        </w:rPr>
      </w:pPr>
      <w:r>
        <w:rPr>
          <w:rFonts w:eastAsia="Calibri"/>
          <w:b w:val="0"/>
        </w:rPr>
        <w:t xml:space="preserve">The instructor and university reserve the right to modify elements of the course during the </w:t>
      </w:r>
      <w:r w:rsidR="003404C1">
        <w:rPr>
          <w:rFonts w:eastAsia="Calibri"/>
          <w:b w:val="0"/>
        </w:rPr>
        <w:t>term. The university may change</w:t>
      </w:r>
      <w:r>
        <w:rPr>
          <w:rFonts w:eastAsia="Calibri"/>
          <w:b w:val="0"/>
        </w:rPr>
        <w:t xml:space="preserve"> the dates and deadlines for any or all courses in extreme circumstances. If either type of medication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 </w:t>
      </w:r>
    </w:p>
    <w:p w14:paraId="36470C95" w14:textId="77777777" w:rsidR="00EC210E" w:rsidRDefault="00EC210E" w:rsidP="00EC210E">
      <w:pPr>
        <w:pStyle w:val="Default"/>
        <w:rPr>
          <w:rFonts w:ascii="Arial" w:hAnsi="Arial" w:cs="Arial"/>
          <w:color w:val="auto"/>
        </w:rPr>
      </w:pPr>
    </w:p>
    <w:p w14:paraId="5EBA701E" w14:textId="77777777" w:rsidR="00EC210E" w:rsidRDefault="00EC210E" w:rsidP="00EC210E">
      <w:pPr>
        <w:pStyle w:val="Default"/>
        <w:rPr>
          <w:rFonts w:ascii="Arial" w:hAnsi="Arial" w:cs="Arial"/>
          <w:b/>
          <w:bCs/>
          <w:color w:val="auto"/>
        </w:rPr>
      </w:pPr>
    </w:p>
    <w:p w14:paraId="316C0D62" w14:textId="77777777" w:rsidR="00EC210E" w:rsidRDefault="00EC210E" w:rsidP="00EC210E">
      <w:pPr>
        <w:pStyle w:val="Heading2"/>
      </w:pPr>
      <w:bookmarkStart w:id="13" w:name="_Toc501099550"/>
      <w:r>
        <w:t>Academic Accommodation of Students with Disabilities</w:t>
      </w:r>
      <w:bookmarkEnd w:id="13"/>
    </w:p>
    <w:p w14:paraId="194A4451" w14:textId="77777777" w:rsidR="00EC210E" w:rsidRDefault="00EC210E" w:rsidP="00EC210E">
      <w:pPr>
        <w:rPr>
          <w:rFonts w:cs="Arial"/>
          <w:b w:val="0"/>
          <w:szCs w:val="24"/>
        </w:rPr>
      </w:pPr>
      <w:r>
        <w:rPr>
          <w:rFonts w:cs="Arial"/>
          <w:b w:val="0"/>
          <w:szCs w:val="24"/>
        </w:rPr>
        <w:t xml:space="preserve">Students who require academic accommodation must contact Student Accessibility Services (SAS) to make arrangements with a Program Coordinator.  Academic accommodations must be arranged for each term of study.  Student Accessibility Services can be contacted by phone 905-525-9140 ext. 28652 or e-mail </w:t>
      </w:r>
      <w:hyperlink r:id="rId8" w:history="1">
        <w:r>
          <w:rPr>
            <w:rStyle w:val="Hyperlink"/>
            <w:rFonts w:eastAsia="MS Gothic" w:cs="Arial"/>
            <w:b w:val="0"/>
            <w:szCs w:val="24"/>
          </w:rPr>
          <w:t>sas@mcmaster.ca</w:t>
        </w:r>
      </w:hyperlink>
      <w:r>
        <w:rPr>
          <w:rFonts w:cs="Arial"/>
          <w:b w:val="0"/>
          <w:szCs w:val="24"/>
        </w:rPr>
        <w:t>.  For further information, consult McMaster University’s Policy for Academic Accommodation of Students with Disabilities.</w:t>
      </w:r>
    </w:p>
    <w:p w14:paraId="512B977D" w14:textId="77777777" w:rsidR="00EC210E" w:rsidRPr="00F21390" w:rsidRDefault="00A324BD" w:rsidP="00EC210E">
      <w:pPr>
        <w:pStyle w:val="Default"/>
        <w:rPr>
          <w:rFonts w:ascii="Arial" w:hAnsi="Arial" w:cs="Arial"/>
          <w:color w:val="auto"/>
        </w:rPr>
      </w:pPr>
      <w:hyperlink r:id="rId9" w:history="1">
        <w:r w:rsidR="00EC210E" w:rsidRPr="00F21390">
          <w:rPr>
            <w:rStyle w:val="Hyperlink"/>
            <w:rFonts w:ascii="Arial" w:eastAsia="Times New Roman" w:hAnsi="Arial" w:cs="Arial"/>
          </w:rPr>
          <w:t>http://www.mcmaster.ca/policy/Students-AcademicStudies/AcademicAccommodation-StudentsWithDisabilities.pdf</w:t>
        </w:r>
      </w:hyperlink>
    </w:p>
    <w:p w14:paraId="105F7BDE" w14:textId="3E53059F" w:rsidR="00EC210E" w:rsidRDefault="00EC210E" w:rsidP="00EC210E">
      <w:pPr>
        <w:rPr>
          <w:rFonts w:cs="Arial"/>
          <w:b w:val="0"/>
          <w:szCs w:val="24"/>
          <w:u w:val="single"/>
        </w:rPr>
      </w:pPr>
    </w:p>
    <w:p w14:paraId="120B8AF8" w14:textId="77777777" w:rsidR="003404C1" w:rsidRDefault="003404C1" w:rsidP="00EC210E">
      <w:pPr>
        <w:rPr>
          <w:rFonts w:cs="Arial"/>
          <w:b w:val="0"/>
          <w:szCs w:val="24"/>
          <w:u w:val="single"/>
        </w:rPr>
      </w:pPr>
    </w:p>
    <w:p w14:paraId="5B029AA1" w14:textId="77777777" w:rsidR="003404C1" w:rsidRDefault="003404C1" w:rsidP="003404C1">
      <w:pPr>
        <w:pStyle w:val="Heading2"/>
        <w:rPr>
          <w:rFonts w:eastAsia="Calibri"/>
        </w:rPr>
      </w:pPr>
      <w:bookmarkStart w:id="14" w:name="_Toc498609811"/>
      <w:bookmarkStart w:id="15" w:name="_Toc501099551"/>
      <w:r w:rsidRPr="000569EF">
        <w:rPr>
          <w:rFonts w:eastAsia="Calibri"/>
        </w:rPr>
        <w:t>Accessibility Statement</w:t>
      </w:r>
      <w:bookmarkEnd w:id="14"/>
      <w:bookmarkEnd w:id="15"/>
    </w:p>
    <w:p w14:paraId="161C695C" w14:textId="245DB16D" w:rsidR="003404C1" w:rsidRDefault="003404C1" w:rsidP="00EC210E">
      <w:pPr>
        <w:rPr>
          <w:rFonts w:eastAsia="Calibri" w:cs="Arial"/>
          <w:b w:val="0"/>
          <w:color w:val="000000"/>
          <w:szCs w:val="24"/>
        </w:rPr>
      </w:pPr>
      <w:r w:rsidRPr="000569EF">
        <w:rPr>
          <w:rFonts w:eastAsia="Calibri" w:cs="Arial"/>
          <w:b w:val="0"/>
          <w:color w:val="000000"/>
          <w:szCs w:val="24"/>
        </w:rPr>
        <w:t>The School of Social Work recognizes that people learn and express their knowledge in different ways. We are committed to reducing barriers to accessibility in the classroom, and working towards classrooms that welcome diverse learners. If you have accessibility concerns or want to talk about your learning needs, please be in touch with the course instructor.</w:t>
      </w:r>
    </w:p>
    <w:p w14:paraId="396C6AAE" w14:textId="5C6CB610" w:rsidR="003404C1" w:rsidRDefault="003404C1" w:rsidP="00EC210E">
      <w:pPr>
        <w:rPr>
          <w:rFonts w:eastAsia="Calibri" w:cs="Arial"/>
          <w:b w:val="0"/>
          <w:color w:val="000000"/>
          <w:szCs w:val="24"/>
        </w:rPr>
      </w:pPr>
    </w:p>
    <w:p w14:paraId="5191704F" w14:textId="77777777" w:rsidR="003404C1" w:rsidRDefault="003404C1" w:rsidP="00EC210E">
      <w:pPr>
        <w:rPr>
          <w:rFonts w:eastAsia="Calibri" w:cs="Arial"/>
          <w:b w:val="0"/>
          <w:color w:val="000000"/>
          <w:szCs w:val="24"/>
        </w:rPr>
      </w:pPr>
    </w:p>
    <w:p w14:paraId="2FA457D0" w14:textId="77777777" w:rsidR="003404C1" w:rsidRPr="005A4B10" w:rsidRDefault="003404C1" w:rsidP="003404C1">
      <w:pPr>
        <w:pStyle w:val="Heading2"/>
        <w:rPr>
          <w:rFonts w:eastAsia="Calibri"/>
        </w:rPr>
      </w:pPr>
      <w:bookmarkStart w:id="16" w:name="_Toc498609812"/>
      <w:bookmarkStart w:id="17" w:name="_Toc501099552"/>
      <w:r w:rsidRPr="005A4B10">
        <w:rPr>
          <w:rFonts w:eastAsia="Calibri"/>
        </w:rPr>
        <w:lastRenderedPageBreak/>
        <w:t>Religious, Indigenous and Spiritual Observances (RISO)</w:t>
      </w:r>
      <w:bookmarkEnd w:id="16"/>
      <w:bookmarkEnd w:id="17"/>
    </w:p>
    <w:p w14:paraId="631FF059" w14:textId="77777777" w:rsidR="003404C1" w:rsidRPr="003404C1" w:rsidRDefault="003404C1" w:rsidP="003404C1">
      <w:pPr>
        <w:pStyle w:val="Heading4"/>
        <w:rPr>
          <w:rFonts w:ascii="Arial" w:eastAsia="Calibri" w:hAnsi="Arial" w:cs="Arial"/>
          <w:b w:val="0"/>
          <w:i w:val="0"/>
          <w:color w:val="auto"/>
        </w:rPr>
      </w:pPr>
      <w:r w:rsidRPr="003404C1">
        <w:rPr>
          <w:rFonts w:ascii="Arial" w:eastAsia="Calibri" w:hAnsi="Arial" w:cs="Arial"/>
          <w:b w:val="0"/>
          <w:i w:val="0"/>
          <w:color w:val="auto"/>
        </w:rPr>
        <w:t xml:space="preserve">The University recognizes that, on occasion, the timing of a student’s religious, Indigenous, or spiritual observances and that of their academic obligations may conflict. In such cases, the University will provide reasonable academic accommodation for students that is consistent with the Ontario Human Rights Code. </w:t>
      </w:r>
    </w:p>
    <w:p w14:paraId="7440E8B9" w14:textId="0483046D" w:rsidR="003404C1" w:rsidRPr="003404C1" w:rsidRDefault="003404C1" w:rsidP="003404C1">
      <w:pPr>
        <w:pStyle w:val="Heading4"/>
        <w:rPr>
          <w:rFonts w:ascii="Arial" w:eastAsia="Calibri" w:hAnsi="Arial" w:cs="Arial"/>
          <w:b w:val="0"/>
          <w:i w:val="0"/>
          <w:color w:val="auto"/>
        </w:rPr>
      </w:pPr>
      <w:r w:rsidRPr="003404C1">
        <w:rPr>
          <w:rFonts w:ascii="Arial" w:eastAsia="Calibri" w:hAnsi="Arial" w:cs="Arial"/>
          <w:b w:val="0"/>
          <w:i w:val="0"/>
          <w:color w:val="auto"/>
        </w:rPr>
        <w:t xml:space="preserve">Please review the </w:t>
      </w:r>
      <w:hyperlink r:id="rId10" w:history="1">
        <w:r w:rsidRPr="003404C1">
          <w:rPr>
            <w:rStyle w:val="Hyperlink"/>
            <w:rFonts w:ascii="Arial" w:eastAsia="Calibri" w:hAnsi="Arial" w:cs="Arial"/>
            <w:b w:val="0"/>
            <w:i w:val="0"/>
            <w:color w:val="auto"/>
          </w:rPr>
          <w:t>RISO information for students in the Faculty of Social Sciences</w:t>
        </w:r>
      </w:hyperlink>
      <w:r w:rsidRPr="003404C1">
        <w:rPr>
          <w:rFonts w:ascii="Arial" w:eastAsia="Calibri" w:hAnsi="Arial" w:cs="Arial"/>
          <w:b w:val="0"/>
          <w:i w:val="0"/>
          <w:color w:val="auto"/>
        </w:rPr>
        <w:t xml:space="preserve"> about how to request accommodation.</w:t>
      </w:r>
    </w:p>
    <w:p w14:paraId="3A1FA4E1" w14:textId="390D8A5A" w:rsidR="00EC210E" w:rsidRDefault="00EC210E" w:rsidP="00EC210E">
      <w:pPr>
        <w:rPr>
          <w:rFonts w:eastAsia="Calibri" w:cs="Arial"/>
          <w:szCs w:val="24"/>
        </w:rPr>
      </w:pPr>
    </w:p>
    <w:p w14:paraId="57816FEB" w14:textId="77777777" w:rsidR="003404C1" w:rsidRDefault="003404C1" w:rsidP="00EC210E">
      <w:pPr>
        <w:rPr>
          <w:rFonts w:eastAsia="Calibri" w:cs="Arial"/>
          <w:szCs w:val="24"/>
        </w:rPr>
      </w:pPr>
    </w:p>
    <w:p w14:paraId="6B050C2D" w14:textId="77777777" w:rsidR="00EC210E" w:rsidRDefault="00EC210E" w:rsidP="00EC210E">
      <w:pPr>
        <w:pStyle w:val="Heading2"/>
        <w:rPr>
          <w:rFonts w:eastAsia="Calibri"/>
        </w:rPr>
      </w:pPr>
      <w:bookmarkStart w:id="18" w:name="_Toc501099553"/>
      <w:r>
        <w:rPr>
          <w:rFonts w:eastAsia="Calibri"/>
        </w:rPr>
        <w:t>E-mail Communication Policy</w:t>
      </w:r>
      <w:bookmarkEnd w:id="18"/>
      <w:r>
        <w:rPr>
          <w:rFonts w:eastAsia="Calibri"/>
        </w:rPr>
        <w:t xml:space="preserve"> </w:t>
      </w:r>
    </w:p>
    <w:p w14:paraId="3BB0FC48" w14:textId="77777777" w:rsidR="00EC210E" w:rsidRDefault="00EC210E" w:rsidP="00EC210E">
      <w:pPr>
        <w:autoSpaceDE w:val="0"/>
        <w:autoSpaceDN w:val="0"/>
        <w:adjustRightInd w:val="0"/>
        <w:rPr>
          <w:rFonts w:eastAsia="Calibri" w:cs="Arial"/>
          <w:b w:val="0"/>
          <w:color w:val="000000"/>
          <w:szCs w:val="24"/>
        </w:rPr>
      </w:pPr>
      <w:r>
        <w:rPr>
          <w:rFonts w:eastAsia="Calibri" w:cs="Arial"/>
          <w:b w:val="0"/>
          <w:color w:val="00000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 Email Forwarding in MUGSI:</w:t>
      </w:r>
    </w:p>
    <w:p w14:paraId="0FCB1938" w14:textId="77777777" w:rsidR="00EC210E" w:rsidRDefault="00EC210E" w:rsidP="00EC210E">
      <w:pPr>
        <w:autoSpaceDE w:val="0"/>
        <w:autoSpaceDN w:val="0"/>
        <w:adjustRightInd w:val="0"/>
        <w:rPr>
          <w:rFonts w:eastAsia="Calibri" w:cs="Arial"/>
          <w:b w:val="0"/>
          <w:color w:val="000000"/>
          <w:szCs w:val="24"/>
        </w:rPr>
      </w:pPr>
      <w:r>
        <w:rPr>
          <w:rFonts w:eastAsia="Calibri" w:cs="Arial"/>
          <w:b w:val="0"/>
          <w:color w:val="000000"/>
          <w:szCs w:val="24"/>
        </w:rPr>
        <w:t xml:space="preserve">http://www.mcmaster.ca/uts/support/email/emailforward.html </w:t>
      </w:r>
    </w:p>
    <w:p w14:paraId="7D93429F" w14:textId="77777777" w:rsidR="00EC210E" w:rsidRDefault="00EC210E" w:rsidP="00EC210E">
      <w:pPr>
        <w:autoSpaceDE w:val="0"/>
        <w:autoSpaceDN w:val="0"/>
        <w:adjustRightInd w:val="0"/>
        <w:rPr>
          <w:rFonts w:eastAsia="Calibri" w:cs="Arial"/>
          <w:color w:val="000000"/>
          <w:szCs w:val="24"/>
        </w:rPr>
      </w:pPr>
    </w:p>
    <w:p w14:paraId="156FC054" w14:textId="77777777" w:rsidR="00EC210E" w:rsidRDefault="00EC210E" w:rsidP="00EC210E">
      <w:pPr>
        <w:autoSpaceDE w:val="0"/>
        <w:autoSpaceDN w:val="0"/>
        <w:adjustRightInd w:val="0"/>
        <w:rPr>
          <w:rFonts w:eastAsia="Calibri" w:cs="Arial"/>
          <w:b w:val="0"/>
          <w:color w:val="000000"/>
          <w:szCs w:val="24"/>
        </w:rPr>
      </w:pPr>
      <w:r>
        <w:rPr>
          <w:rFonts w:eastAsia="Calibri" w:cs="Arial"/>
          <w:b w:val="0"/>
          <w:color w:val="000000"/>
          <w:szCs w:val="24"/>
        </w:rPr>
        <w:t xml:space="preserve">*Forwarding will take effect 24-hours after students complete the process at the above link </w:t>
      </w:r>
    </w:p>
    <w:p w14:paraId="06DF9E6A" w14:textId="2D7D025C" w:rsidR="00EC210E" w:rsidRDefault="00EC210E" w:rsidP="00EC210E">
      <w:pPr>
        <w:rPr>
          <w:rFonts w:cs="Arial"/>
          <w:b w:val="0"/>
          <w:szCs w:val="24"/>
          <w:u w:val="single"/>
        </w:rPr>
      </w:pPr>
      <w:r>
        <w:rPr>
          <w:rFonts w:eastAsia="Calibri" w:cs="Arial"/>
          <w:b w:val="0"/>
          <w:color w:val="000000"/>
          <w:szCs w:val="24"/>
        </w:rPr>
        <w:t>(Approved at the Faculty of Social Sciences meeting on Tues. May 25, 2010)</w:t>
      </w:r>
    </w:p>
    <w:p w14:paraId="32AD60C7" w14:textId="40668B58" w:rsidR="003404C1" w:rsidRDefault="003404C1" w:rsidP="003404C1">
      <w:pPr>
        <w:spacing w:after="200" w:line="276" w:lineRule="auto"/>
      </w:pPr>
    </w:p>
    <w:p w14:paraId="4BCD0965" w14:textId="0C0B9059" w:rsidR="00EC210E" w:rsidRDefault="00EC210E" w:rsidP="003404C1">
      <w:pPr>
        <w:spacing w:after="200" w:line="276" w:lineRule="auto"/>
      </w:pPr>
      <w:r>
        <w:t xml:space="preserve">Required Texts:  </w:t>
      </w:r>
    </w:p>
    <w:p w14:paraId="13EE4D13" w14:textId="77777777" w:rsidR="00EC210E" w:rsidRDefault="00EC210E" w:rsidP="00EC210E">
      <w:pPr>
        <w:rPr>
          <w:rFonts w:cs="Arial"/>
          <w:b w:val="0"/>
          <w:szCs w:val="24"/>
        </w:rPr>
      </w:pPr>
    </w:p>
    <w:p w14:paraId="380F7C2A" w14:textId="77777777" w:rsidR="00EC210E" w:rsidRDefault="00EC210E" w:rsidP="00EC210E">
      <w:pPr>
        <w:rPr>
          <w:b w:val="0"/>
          <w:bCs/>
        </w:rPr>
      </w:pPr>
      <w:r>
        <w:rPr>
          <w:b w:val="0"/>
          <w:bCs/>
        </w:rPr>
        <w:t>Catherine Etmanski, Budd L. Hall &amp; Teresa Dawson Eds. (2014). Learning and Teaching Community Based Research: Linking Pedagogy to Practice. University of Toronto Press.</w:t>
      </w:r>
    </w:p>
    <w:p w14:paraId="451B1BD1" w14:textId="77777777" w:rsidR="00EC210E" w:rsidRDefault="00EC210E" w:rsidP="00EC210E"/>
    <w:p w14:paraId="3C07027C" w14:textId="77777777" w:rsidR="00EC210E" w:rsidRDefault="00EC210E" w:rsidP="00EC210E">
      <w:pPr>
        <w:rPr>
          <w:rFonts w:eastAsia="Calibri" w:cs="Arial"/>
          <w:b w:val="0"/>
          <w:bCs/>
          <w:szCs w:val="24"/>
          <w:lang w:val="en-CA" w:eastAsia="en-CA"/>
        </w:rPr>
      </w:pPr>
    </w:p>
    <w:p w14:paraId="73F7158D" w14:textId="77777777" w:rsidR="00EC210E" w:rsidRDefault="00EC210E" w:rsidP="00EC210E">
      <w:pPr>
        <w:pStyle w:val="Heading2"/>
        <w:rPr>
          <w:rFonts w:eastAsia="Calibri"/>
        </w:rPr>
      </w:pPr>
      <w:bookmarkStart w:id="19" w:name="_Toc501099554"/>
      <w:r>
        <w:rPr>
          <w:rFonts w:eastAsia="Calibri"/>
        </w:rPr>
        <w:t>Attendance</w:t>
      </w:r>
      <w:bookmarkEnd w:id="19"/>
    </w:p>
    <w:p w14:paraId="6902BF80" w14:textId="77777777" w:rsidR="00EC210E" w:rsidRDefault="00EC210E" w:rsidP="00EC210E">
      <w:pPr>
        <w:autoSpaceDE w:val="0"/>
        <w:autoSpaceDN w:val="0"/>
        <w:adjustRightInd w:val="0"/>
        <w:rPr>
          <w:rFonts w:eastAsia="Calibri" w:cs="Arial"/>
          <w:b w:val="0"/>
          <w:szCs w:val="24"/>
          <w:lang w:val="en-CA" w:eastAsia="en-CA"/>
        </w:rPr>
      </w:pPr>
      <w:r>
        <w:rPr>
          <w:rFonts w:eastAsia="Calibri" w:cs="Arial"/>
          <w:b w:val="0"/>
          <w:szCs w:val="24"/>
          <w:lang w:val="en-CA" w:eastAsia="en-CA"/>
        </w:rPr>
        <w:t>Participation, attendance, and questions are essential in order to fully engage in the analysis of the readings. Furthermore, the expectation is that students will attend all lectures.</w:t>
      </w:r>
    </w:p>
    <w:p w14:paraId="29798651" w14:textId="77777777" w:rsidR="00EC210E" w:rsidRDefault="00EC210E" w:rsidP="00EC210E">
      <w:pPr>
        <w:autoSpaceDE w:val="0"/>
        <w:autoSpaceDN w:val="0"/>
        <w:adjustRightInd w:val="0"/>
        <w:rPr>
          <w:rFonts w:eastAsia="Calibri" w:cs="Arial"/>
          <w:b w:val="0"/>
          <w:szCs w:val="24"/>
          <w:lang w:val="en-CA" w:eastAsia="en-CA"/>
        </w:rPr>
      </w:pPr>
    </w:p>
    <w:p w14:paraId="36228BB9" w14:textId="77777777" w:rsidR="00EC210E" w:rsidRDefault="00EC210E" w:rsidP="00EC210E">
      <w:pPr>
        <w:rPr>
          <w:rFonts w:cs="Arial"/>
          <w:b w:val="0"/>
          <w:szCs w:val="24"/>
          <w:u w:val="single"/>
        </w:rPr>
      </w:pPr>
    </w:p>
    <w:p w14:paraId="6656F7D2" w14:textId="77777777" w:rsidR="00EC210E" w:rsidRDefault="00EC210E" w:rsidP="00EC210E">
      <w:pPr>
        <w:pStyle w:val="Heading2"/>
      </w:pPr>
      <w:bookmarkStart w:id="20" w:name="_Toc501099555"/>
      <w:r>
        <w:t>Assignments:</w:t>
      </w:r>
      <w:bookmarkEnd w:id="20"/>
    </w:p>
    <w:p w14:paraId="316E154C" w14:textId="77777777" w:rsidR="00EC210E" w:rsidRDefault="00522E87" w:rsidP="00EC210E">
      <w:pPr>
        <w:numPr>
          <w:ilvl w:val="0"/>
          <w:numId w:val="6"/>
        </w:numPr>
        <w:spacing w:line="276" w:lineRule="auto"/>
        <w:rPr>
          <w:rStyle w:val="a"/>
          <w:b w:val="0"/>
        </w:rPr>
      </w:pPr>
      <w:r>
        <w:rPr>
          <w:rStyle w:val="a"/>
        </w:rPr>
        <w:t>Class Presentation</w:t>
      </w:r>
      <w:r w:rsidR="00EC210E">
        <w:rPr>
          <w:rStyle w:val="a"/>
        </w:rPr>
        <w:t>:</w:t>
      </w:r>
      <w:r w:rsidR="00EC210E">
        <w:rPr>
          <w:rStyle w:val="a"/>
          <w:b w:val="0"/>
        </w:rPr>
        <w:t xml:space="preserve"> This includes atten</w:t>
      </w:r>
      <w:r>
        <w:rPr>
          <w:rStyle w:val="a"/>
          <w:b w:val="0"/>
        </w:rPr>
        <w:t xml:space="preserve">dance, facilitation of </w:t>
      </w:r>
      <w:r w:rsidR="00EC210E">
        <w:rPr>
          <w:rStyle w:val="a"/>
          <w:b w:val="0"/>
        </w:rPr>
        <w:t>one in-class</w:t>
      </w:r>
      <w:r>
        <w:rPr>
          <w:rStyle w:val="a"/>
          <w:b w:val="0"/>
        </w:rPr>
        <w:t xml:space="preserve"> discussion on a chosen issue related to CBR. This also includes a</w:t>
      </w:r>
      <w:r w:rsidR="00EC210E">
        <w:rPr>
          <w:rStyle w:val="a"/>
          <w:b w:val="0"/>
        </w:rPr>
        <w:t xml:space="preserve">ctive participation in the </w:t>
      </w:r>
      <w:r>
        <w:rPr>
          <w:rStyle w:val="a"/>
          <w:b w:val="0"/>
        </w:rPr>
        <w:t>classroom and requires contributing</w:t>
      </w:r>
      <w:r w:rsidR="00EC210E">
        <w:rPr>
          <w:rStyle w:val="a"/>
          <w:b w:val="0"/>
        </w:rPr>
        <w:t xml:space="preserve"> your ideas in class, critiquing</w:t>
      </w:r>
      <w:r>
        <w:rPr>
          <w:rStyle w:val="a"/>
          <w:b w:val="0"/>
        </w:rPr>
        <w:t xml:space="preserve"> articles and providing reflections on </w:t>
      </w:r>
      <w:r w:rsidR="00EC210E">
        <w:rPr>
          <w:rStyle w:val="a"/>
          <w:b w:val="0"/>
        </w:rPr>
        <w:t xml:space="preserve">your research experiences. </w:t>
      </w:r>
    </w:p>
    <w:p w14:paraId="75C5D482" w14:textId="2D911D37" w:rsidR="00016C28" w:rsidRDefault="00016C28" w:rsidP="00016C28">
      <w:pPr>
        <w:spacing w:line="276" w:lineRule="auto"/>
        <w:ind w:left="720"/>
        <w:rPr>
          <w:rStyle w:val="a"/>
          <w:b w:val="0"/>
        </w:rPr>
      </w:pPr>
      <w:r>
        <w:rPr>
          <w:rStyle w:val="a"/>
        </w:rPr>
        <w:t>DUE DATES:</w:t>
      </w:r>
      <w:r>
        <w:rPr>
          <w:rStyle w:val="a"/>
          <w:b w:val="0"/>
        </w:rPr>
        <w:t xml:space="preserve"> TBD</w:t>
      </w:r>
    </w:p>
    <w:p w14:paraId="6733CE90" w14:textId="77777777" w:rsidR="00EC210E" w:rsidRDefault="00EC210E" w:rsidP="00EC210E">
      <w:pPr>
        <w:spacing w:line="276" w:lineRule="auto"/>
        <w:ind w:left="720"/>
        <w:rPr>
          <w:rStyle w:val="a"/>
          <w:b w:val="0"/>
        </w:rPr>
      </w:pPr>
    </w:p>
    <w:p w14:paraId="49884EDE" w14:textId="556E4E5D" w:rsidR="00EC210E" w:rsidRPr="00016C28" w:rsidRDefault="00EC210E" w:rsidP="00EC210E">
      <w:pPr>
        <w:numPr>
          <w:ilvl w:val="0"/>
          <w:numId w:val="6"/>
        </w:numPr>
        <w:spacing w:line="276" w:lineRule="auto"/>
      </w:pPr>
      <w:r>
        <w:lastRenderedPageBreak/>
        <w:t>Community Leadership and Involvement Proposal</w:t>
      </w:r>
      <w:r>
        <w:rPr>
          <w:b w:val="0"/>
        </w:rPr>
        <w:t xml:space="preserve">: </w:t>
      </w:r>
      <w:r>
        <w:rPr>
          <w:rFonts w:ascii="Calibri" w:eastAsia="Calibri" w:hAnsi="Calibri"/>
          <w:b w:val="0"/>
          <w:sz w:val="22"/>
          <w:szCs w:val="22"/>
        </w:rPr>
        <w:t xml:space="preserve"> </w:t>
      </w:r>
      <w:r>
        <w:rPr>
          <w:b w:val="0"/>
        </w:rPr>
        <w:t>The purpose of this assignment is to demonstrate your understan</w:t>
      </w:r>
      <w:r w:rsidR="000C4CF9">
        <w:rPr>
          <w:b w:val="0"/>
        </w:rPr>
        <w:t xml:space="preserve">ding and critical analysis of </w:t>
      </w:r>
      <w:r w:rsidR="000C4CF9">
        <w:rPr>
          <w:b w:val="0"/>
        </w:rPr>
        <w:br/>
      </w:r>
      <w:r>
        <w:rPr>
          <w:b w:val="0"/>
        </w:rPr>
        <w:t>community leadership and involvement in community-based research. In this paper you will identify the community that you are working with and the issue you will be setting out to research.  Drawing on readings, lectures, and in class discussions, you will then discuss the process you will engage to ensure community leadership and involvement at all stages of the research process.  The final part of the paper should focus on some of the methodological or ethical tensions that you anticipate bumping up against throughout this process and the steps you will take to minimize these tensions.</w:t>
      </w:r>
      <w:r w:rsidR="00016C28">
        <w:rPr>
          <w:b w:val="0"/>
        </w:rPr>
        <w:t xml:space="preserve"> </w:t>
      </w:r>
    </w:p>
    <w:p w14:paraId="331A87A5" w14:textId="55A13EDB" w:rsidR="00016C28" w:rsidRDefault="00016C28" w:rsidP="00016C28">
      <w:pPr>
        <w:spacing w:line="276" w:lineRule="auto"/>
        <w:ind w:left="720"/>
      </w:pPr>
      <w:r>
        <w:t>DUE DATE:  February 26th</w:t>
      </w:r>
    </w:p>
    <w:p w14:paraId="0D466B5A" w14:textId="77777777" w:rsidR="00EC210E" w:rsidRDefault="00EC210E" w:rsidP="00EC210E">
      <w:pPr>
        <w:ind w:left="360"/>
      </w:pPr>
    </w:p>
    <w:p w14:paraId="5AE9DBD5" w14:textId="77777777" w:rsidR="00016C28" w:rsidRDefault="00EC210E" w:rsidP="00016C28">
      <w:pPr>
        <w:numPr>
          <w:ilvl w:val="0"/>
          <w:numId w:val="6"/>
        </w:numPr>
        <w:spacing w:line="276" w:lineRule="auto"/>
        <w:rPr>
          <w:b w:val="0"/>
        </w:rPr>
      </w:pPr>
      <w:r>
        <w:t>Final Paper</w:t>
      </w:r>
      <w:r>
        <w:rPr>
          <w:b w:val="0"/>
        </w:rPr>
        <w:t>: The purpose of this paper is for you to consolidate what you have learned from the readings, classroom discussion and personal reflections on community based research and research as a part of the larger social change project.</w:t>
      </w:r>
      <w:r w:rsidR="00016C28">
        <w:rPr>
          <w:b w:val="0"/>
        </w:rPr>
        <w:t xml:space="preserve"> </w:t>
      </w:r>
    </w:p>
    <w:p w14:paraId="03C1160A" w14:textId="25F528DC" w:rsidR="00016C28" w:rsidRPr="00016C28" w:rsidRDefault="00016C28" w:rsidP="00016C28">
      <w:pPr>
        <w:spacing w:line="276" w:lineRule="auto"/>
        <w:rPr>
          <w:b w:val="0"/>
        </w:rPr>
      </w:pPr>
      <w:r>
        <w:t xml:space="preserve">           </w:t>
      </w:r>
      <w:r w:rsidRPr="00016C28">
        <w:t>DUE DATE: Monday, April 9</w:t>
      </w:r>
      <w:r w:rsidRPr="00016C28">
        <w:rPr>
          <w:vertAlign w:val="superscript"/>
        </w:rPr>
        <w:t>th</w:t>
      </w:r>
    </w:p>
    <w:p w14:paraId="06A4E9A6" w14:textId="77777777" w:rsidR="001A70D5" w:rsidRDefault="001A70D5" w:rsidP="003404C1">
      <w:pPr>
        <w:spacing w:after="200" w:line="276" w:lineRule="auto"/>
        <w:rPr>
          <w:u w:val="single"/>
        </w:rPr>
      </w:pPr>
      <w:r>
        <w:rPr>
          <w:u w:val="single"/>
        </w:rPr>
        <w:br/>
      </w:r>
    </w:p>
    <w:p w14:paraId="7037F14D" w14:textId="1515F6AC" w:rsidR="00EC210E" w:rsidRDefault="00EC210E" w:rsidP="003404C1">
      <w:pPr>
        <w:spacing w:after="200" w:line="276" w:lineRule="auto"/>
        <w:rPr>
          <w:b w:val="0"/>
        </w:rPr>
      </w:pPr>
      <w:r>
        <w:rPr>
          <w:u w:val="single"/>
        </w:rPr>
        <w:t>Topic A</w:t>
      </w:r>
      <w:r>
        <w:t>: Analytic Paper</w:t>
      </w:r>
    </w:p>
    <w:p w14:paraId="2D3110BC" w14:textId="77777777" w:rsidR="00EC210E" w:rsidRDefault="00EC210E" w:rsidP="00EC210E">
      <w:pPr>
        <w:spacing w:line="276" w:lineRule="auto"/>
        <w:rPr>
          <w:b w:val="0"/>
        </w:rPr>
      </w:pPr>
      <w:r>
        <w:rPr>
          <w:b w:val="0"/>
        </w:rPr>
        <w:t>Identify, describe and analyze some aspect of CBR with which you wish to achieve greater familiarity. The paper must include a comprehensive review of background literature of the topic, and may also draw on interviews with key informants. The paper should be a critical analysis of the topic of the topic you intend to focus on and include methodological and ethical tensions.</w:t>
      </w:r>
    </w:p>
    <w:p w14:paraId="4E5BB637" w14:textId="77777777" w:rsidR="00EC210E" w:rsidRDefault="00EC210E" w:rsidP="00EC210E">
      <w:pPr>
        <w:spacing w:line="276" w:lineRule="auto"/>
      </w:pPr>
    </w:p>
    <w:p w14:paraId="2F6A457B" w14:textId="77777777" w:rsidR="00EC210E" w:rsidRDefault="00EC210E" w:rsidP="00EC210E">
      <w:pPr>
        <w:spacing w:line="276" w:lineRule="auto"/>
        <w:rPr>
          <w:b w:val="0"/>
        </w:rPr>
      </w:pPr>
      <w:r>
        <w:rPr>
          <w:u w:val="single"/>
        </w:rPr>
        <w:t>Topic B</w:t>
      </w:r>
      <w:r>
        <w:t>: Theorizing Practice Experience</w:t>
      </w:r>
    </w:p>
    <w:p w14:paraId="1AF84FEF" w14:textId="77777777" w:rsidR="00EC210E" w:rsidRDefault="00EC210E" w:rsidP="00EC210E">
      <w:pPr>
        <w:spacing w:line="276" w:lineRule="auto"/>
        <w:rPr>
          <w:b w:val="0"/>
        </w:rPr>
      </w:pPr>
      <w:r>
        <w:rPr>
          <w:b w:val="0"/>
        </w:rPr>
        <w:t>Students involved in a CBR project (either now or previously) may submit a critical analysis of their experience in which they draw on concepts and reading from the class (including presentations and other readings from the literature) to critically evaluate the project and study day to day issues in the course of implementation. The paper must include literature which addresses core issues related to the project and a reflection on the methodological and ethical tensions.</w:t>
      </w:r>
    </w:p>
    <w:p w14:paraId="22AFD315" w14:textId="7389CB6D" w:rsidR="00EC210E" w:rsidRDefault="00EC210E" w:rsidP="003404C1">
      <w:pPr>
        <w:rPr>
          <w:b w:val="0"/>
        </w:rPr>
      </w:pPr>
      <w:r>
        <w:rPr>
          <w:b w:val="0"/>
        </w:rPr>
        <w:br w:type="page"/>
      </w:r>
    </w:p>
    <w:p w14:paraId="4E419143" w14:textId="77777777" w:rsidR="00EC210E" w:rsidRDefault="00EC210E" w:rsidP="00EC210E">
      <w:pPr>
        <w:pStyle w:val="Heading2"/>
      </w:pPr>
      <w:bookmarkStart w:id="21" w:name="_Toc501099556"/>
      <w:r>
        <w:lastRenderedPageBreak/>
        <w:t>Course Weekly Topics and Readings</w:t>
      </w:r>
      <w:bookmarkEnd w:id="21"/>
    </w:p>
    <w:p w14:paraId="446E9FDD" w14:textId="77777777" w:rsidR="00EC210E" w:rsidRDefault="00EC210E" w:rsidP="00EC210E">
      <w:pPr>
        <w:rPr>
          <w:rFonts w:cs="Arial"/>
          <w:b w:val="0"/>
          <w:szCs w:val="24"/>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134"/>
        <w:gridCol w:w="4109"/>
        <w:gridCol w:w="3683"/>
      </w:tblGrid>
      <w:tr w:rsidR="00EC210E" w14:paraId="33E55E41" w14:textId="77777777" w:rsidTr="00016C28">
        <w:trPr>
          <w:tblHeader/>
        </w:trPr>
        <w:tc>
          <w:tcPr>
            <w:tcW w:w="959" w:type="dxa"/>
            <w:tcBorders>
              <w:top w:val="single" w:sz="4" w:space="0" w:color="auto"/>
              <w:left w:val="single" w:sz="4" w:space="0" w:color="auto"/>
              <w:bottom w:val="single" w:sz="4" w:space="0" w:color="auto"/>
              <w:right w:val="single" w:sz="4" w:space="0" w:color="auto"/>
            </w:tcBorders>
            <w:hideMark/>
          </w:tcPr>
          <w:p w14:paraId="62F7CA08" w14:textId="77777777" w:rsidR="00EC210E" w:rsidRDefault="00EC210E">
            <w:bookmarkStart w:id="22" w:name="_Toc308261210"/>
            <w:bookmarkStart w:id="23" w:name="_Toc308959801"/>
            <w:bookmarkStart w:id="24" w:name="_Toc308959958"/>
            <w:r>
              <w:t>WEEK</w:t>
            </w:r>
            <w:bookmarkEnd w:id="22"/>
            <w:bookmarkEnd w:id="23"/>
            <w:bookmarkEnd w:id="24"/>
          </w:p>
        </w:tc>
        <w:tc>
          <w:tcPr>
            <w:tcW w:w="1134" w:type="dxa"/>
            <w:tcBorders>
              <w:top w:val="single" w:sz="4" w:space="0" w:color="auto"/>
              <w:left w:val="single" w:sz="4" w:space="0" w:color="auto"/>
              <w:bottom w:val="single" w:sz="4" w:space="0" w:color="auto"/>
              <w:right w:val="single" w:sz="4" w:space="0" w:color="auto"/>
            </w:tcBorders>
            <w:hideMark/>
          </w:tcPr>
          <w:p w14:paraId="570E928F" w14:textId="77777777" w:rsidR="00EC210E" w:rsidRDefault="00EC210E">
            <w:bookmarkStart w:id="25" w:name="_Toc308261211"/>
            <w:bookmarkStart w:id="26" w:name="_Toc308959802"/>
            <w:bookmarkStart w:id="27" w:name="_Toc308959959"/>
            <w:r>
              <w:t>DATE</w:t>
            </w:r>
            <w:bookmarkEnd w:id="25"/>
            <w:bookmarkEnd w:id="26"/>
            <w:bookmarkEnd w:id="27"/>
          </w:p>
        </w:tc>
        <w:tc>
          <w:tcPr>
            <w:tcW w:w="4109" w:type="dxa"/>
            <w:tcBorders>
              <w:top w:val="single" w:sz="4" w:space="0" w:color="auto"/>
              <w:left w:val="single" w:sz="4" w:space="0" w:color="auto"/>
              <w:bottom w:val="single" w:sz="4" w:space="0" w:color="auto"/>
              <w:right w:val="single" w:sz="4" w:space="0" w:color="auto"/>
            </w:tcBorders>
            <w:hideMark/>
          </w:tcPr>
          <w:p w14:paraId="6519693D" w14:textId="77777777" w:rsidR="00EC210E" w:rsidRDefault="00EC210E">
            <w:bookmarkStart w:id="28" w:name="_Toc308261212"/>
            <w:bookmarkStart w:id="29" w:name="_Toc308959803"/>
            <w:bookmarkStart w:id="30" w:name="_Toc308959960"/>
            <w:r>
              <w:t>TOPIC</w:t>
            </w:r>
            <w:bookmarkEnd w:id="28"/>
            <w:bookmarkEnd w:id="29"/>
            <w:bookmarkEnd w:id="30"/>
          </w:p>
        </w:tc>
        <w:tc>
          <w:tcPr>
            <w:tcW w:w="3683" w:type="dxa"/>
            <w:tcBorders>
              <w:top w:val="single" w:sz="4" w:space="0" w:color="auto"/>
              <w:left w:val="single" w:sz="4" w:space="0" w:color="auto"/>
              <w:bottom w:val="single" w:sz="4" w:space="0" w:color="auto"/>
              <w:right w:val="single" w:sz="4" w:space="0" w:color="auto"/>
            </w:tcBorders>
            <w:hideMark/>
          </w:tcPr>
          <w:p w14:paraId="1AE73B94" w14:textId="77777777" w:rsidR="00EC210E" w:rsidRDefault="00EC210E">
            <w:bookmarkStart w:id="31" w:name="_Toc308261213"/>
            <w:bookmarkStart w:id="32" w:name="_Toc308959804"/>
            <w:bookmarkStart w:id="33" w:name="_Toc308959961"/>
            <w:r>
              <w:t>READINGS</w:t>
            </w:r>
            <w:bookmarkEnd w:id="31"/>
            <w:bookmarkEnd w:id="32"/>
            <w:bookmarkEnd w:id="33"/>
          </w:p>
        </w:tc>
      </w:tr>
      <w:tr w:rsidR="00EC210E" w14:paraId="57AF129C" w14:textId="77777777" w:rsidTr="00016C28">
        <w:tc>
          <w:tcPr>
            <w:tcW w:w="959" w:type="dxa"/>
            <w:tcBorders>
              <w:top w:val="single" w:sz="4" w:space="0" w:color="auto"/>
              <w:left w:val="single" w:sz="4" w:space="0" w:color="auto"/>
              <w:bottom w:val="single" w:sz="4" w:space="0" w:color="auto"/>
              <w:right w:val="single" w:sz="4" w:space="0" w:color="auto"/>
            </w:tcBorders>
            <w:hideMark/>
          </w:tcPr>
          <w:p w14:paraId="015DB404" w14:textId="77777777" w:rsidR="00EC210E" w:rsidRDefault="00EC210E">
            <w:pPr>
              <w:widowControl w:val="0"/>
              <w:autoSpaceDE w:val="0"/>
              <w:autoSpaceDN w:val="0"/>
              <w:adjustRightInd w:val="0"/>
              <w:jc w:val="center"/>
              <w:rPr>
                <w:rFonts w:cs="Arial"/>
                <w:b w:val="0"/>
                <w:szCs w:val="24"/>
              </w:rPr>
            </w:pPr>
            <w:r>
              <w:rPr>
                <w:rFonts w:cs="Arial"/>
                <w:b w:val="0"/>
                <w:szCs w:val="24"/>
              </w:rPr>
              <w:t>1</w:t>
            </w:r>
          </w:p>
        </w:tc>
        <w:tc>
          <w:tcPr>
            <w:tcW w:w="1134" w:type="dxa"/>
            <w:tcBorders>
              <w:top w:val="single" w:sz="4" w:space="0" w:color="auto"/>
              <w:left w:val="single" w:sz="4" w:space="0" w:color="auto"/>
              <w:bottom w:val="single" w:sz="4" w:space="0" w:color="auto"/>
              <w:right w:val="single" w:sz="4" w:space="0" w:color="auto"/>
            </w:tcBorders>
            <w:hideMark/>
          </w:tcPr>
          <w:p w14:paraId="02CFAD1D" w14:textId="068D0D83" w:rsidR="00EC210E" w:rsidRDefault="00EC210E">
            <w:pPr>
              <w:widowControl w:val="0"/>
              <w:autoSpaceDE w:val="0"/>
              <w:autoSpaceDN w:val="0"/>
              <w:adjustRightInd w:val="0"/>
              <w:rPr>
                <w:rFonts w:cs="Arial"/>
                <w:b w:val="0"/>
                <w:szCs w:val="24"/>
              </w:rPr>
            </w:pPr>
            <w:r>
              <w:rPr>
                <w:rFonts w:cs="Arial"/>
                <w:szCs w:val="24"/>
              </w:rPr>
              <w:t xml:space="preserve"> </w:t>
            </w:r>
            <w:r>
              <w:rPr>
                <w:rFonts w:cs="Arial"/>
                <w:b w:val="0"/>
                <w:szCs w:val="24"/>
              </w:rPr>
              <w:t xml:space="preserve">Jan </w:t>
            </w:r>
            <w:r w:rsidR="00A9796C">
              <w:rPr>
                <w:rFonts w:cs="Arial"/>
                <w:b w:val="0"/>
                <w:szCs w:val="24"/>
              </w:rPr>
              <w:t>8</w:t>
            </w:r>
          </w:p>
        </w:tc>
        <w:tc>
          <w:tcPr>
            <w:tcW w:w="4109" w:type="dxa"/>
            <w:tcBorders>
              <w:top w:val="single" w:sz="4" w:space="0" w:color="auto"/>
              <w:left w:val="single" w:sz="4" w:space="0" w:color="auto"/>
              <w:bottom w:val="single" w:sz="4" w:space="0" w:color="auto"/>
              <w:right w:val="single" w:sz="4" w:space="0" w:color="auto"/>
            </w:tcBorders>
            <w:hideMark/>
          </w:tcPr>
          <w:p w14:paraId="7430D2BA" w14:textId="77777777" w:rsidR="00EC210E" w:rsidRDefault="00EC210E">
            <w:pPr>
              <w:rPr>
                <w:rFonts w:cs="Arial"/>
                <w:b w:val="0"/>
                <w:szCs w:val="24"/>
              </w:rPr>
            </w:pPr>
            <w:r>
              <w:rPr>
                <w:rFonts w:eastAsiaTheme="minorHAnsi" w:cs="Arial"/>
                <w:b w:val="0"/>
                <w:color w:val="000000"/>
                <w:szCs w:val="24"/>
              </w:rPr>
              <w:t>Learning and Teaching CBR</w:t>
            </w:r>
          </w:p>
        </w:tc>
        <w:tc>
          <w:tcPr>
            <w:tcW w:w="3683" w:type="dxa"/>
            <w:tcBorders>
              <w:top w:val="single" w:sz="4" w:space="0" w:color="auto"/>
              <w:left w:val="single" w:sz="4" w:space="0" w:color="auto"/>
              <w:bottom w:val="single" w:sz="4" w:space="0" w:color="auto"/>
              <w:right w:val="single" w:sz="4" w:space="0" w:color="auto"/>
            </w:tcBorders>
          </w:tcPr>
          <w:p w14:paraId="101120D2" w14:textId="77777777" w:rsidR="00EC210E" w:rsidRPr="00EC210E" w:rsidRDefault="00EC210E">
            <w:pPr>
              <w:rPr>
                <w:b w:val="0"/>
                <w:bCs/>
                <w:lang w:val="en-CA"/>
              </w:rPr>
            </w:pPr>
            <w:r w:rsidRPr="00EC210E">
              <w:rPr>
                <w:rFonts w:eastAsiaTheme="minorHAnsi"/>
                <w:b w:val="0"/>
                <w:color w:val="000000"/>
                <w:lang w:val="en-CA"/>
              </w:rPr>
              <w:t xml:space="preserve">Introduction in </w:t>
            </w:r>
            <w:r w:rsidRPr="00EC210E">
              <w:rPr>
                <w:b w:val="0"/>
                <w:bCs/>
                <w:lang w:val="en-CA"/>
              </w:rPr>
              <w:t>C.  Etmanski et al (2014).</w:t>
            </w:r>
          </w:p>
          <w:p w14:paraId="7C24CB29" w14:textId="77777777" w:rsidR="00EC210E" w:rsidRPr="00EC210E" w:rsidRDefault="00EC210E">
            <w:pPr>
              <w:rPr>
                <w:b w:val="0"/>
                <w:bCs/>
                <w:lang w:val="en-CA"/>
              </w:rPr>
            </w:pPr>
          </w:p>
          <w:p w14:paraId="2A92F0E9" w14:textId="77777777" w:rsidR="00EC210E" w:rsidRDefault="00EC210E">
            <w:pPr>
              <w:rPr>
                <w:b w:val="0"/>
                <w:bCs/>
                <w:lang w:val="en-CA"/>
              </w:rPr>
            </w:pPr>
            <w:r>
              <w:rPr>
                <w:b w:val="0"/>
              </w:rPr>
              <w:t>Israel BA, Schultz AJ, Parker EA, Becker AB: Review of community-based research: Assessing partnership approaches to improve public health. Annu Rev Public Health 19:173- 202, 1998.</w:t>
            </w:r>
          </w:p>
          <w:p w14:paraId="6230EECA" w14:textId="77777777" w:rsidR="00EC210E" w:rsidRDefault="00EC210E">
            <w:pPr>
              <w:rPr>
                <w:b w:val="0"/>
                <w:bCs/>
                <w:lang w:val="en-CA"/>
              </w:rPr>
            </w:pPr>
          </w:p>
          <w:p w14:paraId="0A45948D" w14:textId="77777777" w:rsidR="00EC210E" w:rsidRDefault="00A324BD">
            <w:pPr>
              <w:autoSpaceDE w:val="0"/>
              <w:autoSpaceDN w:val="0"/>
              <w:adjustRightInd w:val="0"/>
              <w:rPr>
                <w:rFonts w:eastAsiaTheme="minorHAnsi"/>
                <w:b w:val="0"/>
                <w:color w:val="000000"/>
                <w:lang w:val="en-CA"/>
              </w:rPr>
            </w:pPr>
            <w:hyperlink r:id="rId11" w:history="1">
              <w:r w:rsidR="00EC210E">
                <w:rPr>
                  <w:rStyle w:val="Hyperlink"/>
                  <w:rFonts w:eastAsiaTheme="minorHAnsi"/>
                  <w:lang w:val="en-CA"/>
                </w:rPr>
                <w:t>http://www.academicmatters.ca/2014/06/beyond-all-in-the-family-community-based-research-in-canada/</w:t>
              </w:r>
            </w:hyperlink>
          </w:p>
          <w:p w14:paraId="2A609E8B" w14:textId="77777777" w:rsidR="00EC210E" w:rsidRDefault="00EC210E">
            <w:pPr>
              <w:widowControl w:val="0"/>
              <w:autoSpaceDE w:val="0"/>
              <w:autoSpaceDN w:val="0"/>
              <w:adjustRightInd w:val="0"/>
              <w:rPr>
                <w:rFonts w:cs="Arial"/>
                <w:b w:val="0"/>
                <w:szCs w:val="24"/>
                <w:u w:val="single"/>
              </w:rPr>
            </w:pPr>
          </w:p>
        </w:tc>
      </w:tr>
      <w:tr w:rsidR="00EC210E" w14:paraId="79A38313" w14:textId="77777777" w:rsidTr="00016C28">
        <w:tc>
          <w:tcPr>
            <w:tcW w:w="959" w:type="dxa"/>
            <w:tcBorders>
              <w:top w:val="single" w:sz="4" w:space="0" w:color="auto"/>
              <w:left w:val="single" w:sz="4" w:space="0" w:color="auto"/>
              <w:bottom w:val="single" w:sz="4" w:space="0" w:color="auto"/>
              <w:right w:val="single" w:sz="4" w:space="0" w:color="auto"/>
            </w:tcBorders>
            <w:hideMark/>
          </w:tcPr>
          <w:p w14:paraId="7269DBE3" w14:textId="77777777" w:rsidR="00EC210E" w:rsidRDefault="00EC210E">
            <w:pPr>
              <w:widowControl w:val="0"/>
              <w:autoSpaceDE w:val="0"/>
              <w:autoSpaceDN w:val="0"/>
              <w:adjustRightInd w:val="0"/>
              <w:jc w:val="center"/>
              <w:rPr>
                <w:rFonts w:cs="Arial"/>
                <w:b w:val="0"/>
                <w:szCs w:val="24"/>
              </w:rPr>
            </w:pPr>
            <w:r>
              <w:rPr>
                <w:rFonts w:cs="Arial"/>
                <w:b w:val="0"/>
                <w:szCs w:val="24"/>
              </w:rPr>
              <w:t>2</w:t>
            </w:r>
          </w:p>
        </w:tc>
        <w:tc>
          <w:tcPr>
            <w:tcW w:w="1134" w:type="dxa"/>
            <w:tcBorders>
              <w:top w:val="single" w:sz="4" w:space="0" w:color="auto"/>
              <w:left w:val="single" w:sz="4" w:space="0" w:color="auto"/>
              <w:bottom w:val="single" w:sz="4" w:space="0" w:color="auto"/>
              <w:right w:val="single" w:sz="4" w:space="0" w:color="auto"/>
            </w:tcBorders>
          </w:tcPr>
          <w:p w14:paraId="62257EE9" w14:textId="77777777" w:rsidR="00EC210E" w:rsidRDefault="00EC210E">
            <w:pPr>
              <w:widowControl w:val="0"/>
              <w:autoSpaceDE w:val="0"/>
              <w:autoSpaceDN w:val="0"/>
              <w:adjustRightInd w:val="0"/>
              <w:rPr>
                <w:rFonts w:cs="Arial"/>
                <w:szCs w:val="24"/>
              </w:rPr>
            </w:pPr>
          </w:p>
          <w:p w14:paraId="53829CC4" w14:textId="3E31836C" w:rsidR="00EC210E" w:rsidRDefault="00A9796C">
            <w:pPr>
              <w:widowControl w:val="0"/>
              <w:autoSpaceDE w:val="0"/>
              <w:autoSpaceDN w:val="0"/>
              <w:adjustRightInd w:val="0"/>
              <w:rPr>
                <w:rFonts w:cs="Arial"/>
                <w:b w:val="0"/>
                <w:szCs w:val="24"/>
              </w:rPr>
            </w:pPr>
            <w:r>
              <w:rPr>
                <w:rFonts w:cs="Arial"/>
                <w:b w:val="0"/>
                <w:szCs w:val="24"/>
              </w:rPr>
              <w:t>Jan 15</w:t>
            </w:r>
            <w:r w:rsidR="00EC210E">
              <w:rPr>
                <w:rFonts w:cs="Arial"/>
                <w:b w:val="0"/>
                <w:szCs w:val="24"/>
              </w:rPr>
              <w:t xml:space="preserve"> </w:t>
            </w:r>
          </w:p>
        </w:tc>
        <w:tc>
          <w:tcPr>
            <w:tcW w:w="4109" w:type="dxa"/>
            <w:tcBorders>
              <w:top w:val="single" w:sz="4" w:space="0" w:color="auto"/>
              <w:left w:val="single" w:sz="4" w:space="0" w:color="auto"/>
              <w:bottom w:val="single" w:sz="4" w:space="0" w:color="auto"/>
              <w:right w:val="single" w:sz="4" w:space="0" w:color="auto"/>
            </w:tcBorders>
            <w:hideMark/>
          </w:tcPr>
          <w:p w14:paraId="54C4E92A" w14:textId="77777777" w:rsidR="00EC210E" w:rsidRDefault="00EC210E">
            <w:pPr>
              <w:rPr>
                <w:rFonts w:cs="Arial"/>
                <w:b w:val="0"/>
                <w:szCs w:val="24"/>
              </w:rPr>
            </w:pPr>
            <w:r>
              <w:rPr>
                <w:rFonts w:cs="Arial"/>
                <w:b w:val="0"/>
                <w:szCs w:val="24"/>
              </w:rPr>
              <w:t>Building and Maintaining Trust</w:t>
            </w:r>
          </w:p>
        </w:tc>
        <w:tc>
          <w:tcPr>
            <w:tcW w:w="3683" w:type="dxa"/>
            <w:tcBorders>
              <w:top w:val="single" w:sz="4" w:space="0" w:color="auto"/>
              <w:left w:val="single" w:sz="4" w:space="0" w:color="auto"/>
              <w:bottom w:val="single" w:sz="4" w:space="0" w:color="auto"/>
              <w:right w:val="single" w:sz="4" w:space="0" w:color="auto"/>
            </w:tcBorders>
          </w:tcPr>
          <w:p w14:paraId="2131C18F" w14:textId="77777777" w:rsidR="00EC210E" w:rsidRDefault="00EC210E">
            <w:pPr>
              <w:rPr>
                <w:b w:val="0"/>
                <w:lang w:val="fr-CA"/>
              </w:rPr>
            </w:pPr>
            <w:r>
              <w:rPr>
                <w:b w:val="0"/>
                <w:lang w:val="fr-CA"/>
              </w:rPr>
              <w:t xml:space="preserve">Chapter 1 in C. Etmanski et al. </w:t>
            </w:r>
          </w:p>
          <w:p w14:paraId="0CDB4180" w14:textId="77777777" w:rsidR="00EC210E" w:rsidRDefault="00EC210E">
            <w:pPr>
              <w:rPr>
                <w:b w:val="0"/>
                <w:lang w:val="fr-CA"/>
              </w:rPr>
            </w:pPr>
          </w:p>
          <w:p w14:paraId="526C87F7" w14:textId="77777777" w:rsidR="00EC210E" w:rsidRDefault="00EC210E">
            <w:pPr>
              <w:rPr>
                <w:b w:val="0"/>
              </w:rPr>
            </w:pPr>
            <w:r>
              <w:rPr>
                <w:b w:val="0"/>
              </w:rPr>
              <w:t xml:space="preserve">Christopher S., Watts, V., McCormick, A., and Young, S (2008). Building and Maintaining Trust in a Community Based Participatory Research Partnership. </w:t>
            </w:r>
            <w:r>
              <w:rPr>
                <w:b w:val="0"/>
                <w:i/>
              </w:rPr>
              <w:t>American Journal of Public Health</w:t>
            </w:r>
            <w:r>
              <w:rPr>
                <w:b w:val="0"/>
              </w:rPr>
              <w:t>, 98(8), 1398-1406.</w:t>
            </w:r>
          </w:p>
          <w:p w14:paraId="28A8FEFA" w14:textId="77777777" w:rsidR="00EC210E" w:rsidRDefault="00EC210E">
            <w:pPr>
              <w:rPr>
                <w:b w:val="0"/>
              </w:rPr>
            </w:pPr>
          </w:p>
          <w:p w14:paraId="764A740A" w14:textId="77777777" w:rsidR="00EC210E" w:rsidRDefault="00BF57BF">
            <w:pPr>
              <w:rPr>
                <w:b w:val="0"/>
              </w:rPr>
            </w:pPr>
            <w:r>
              <w:rPr>
                <w:b w:val="0"/>
              </w:rPr>
              <w:t>V</w:t>
            </w:r>
            <w:r w:rsidR="00EC210E">
              <w:rPr>
                <w:b w:val="0"/>
              </w:rPr>
              <w:t xml:space="preserve">an der Meulen, E. (2011). Action Research with Sex Workers: Dismantling Barriers and Building Bridges. </w:t>
            </w:r>
            <w:r w:rsidR="00EC210E">
              <w:rPr>
                <w:b w:val="0"/>
                <w:i/>
              </w:rPr>
              <w:t>Action Research</w:t>
            </w:r>
            <w:r w:rsidR="00EC210E">
              <w:rPr>
                <w:b w:val="0"/>
              </w:rPr>
              <w:t>, 9(4), 370-384.</w:t>
            </w:r>
          </w:p>
          <w:p w14:paraId="21529ED1" w14:textId="77777777" w:rsidR="00EC210E" w:rsidRDefault="00EC210E">
            <w:pPr>
              <w:widowControl w:val="0"/>
              <w:autoSpaceDE w:val="0"/>
              <w:autoSpaceDN w:val="0"/>
              <w:adjustRightInd w:val="0"/>
              <w:rPr>
                <w:rFonts w:cs="Arial"/>
                <w:szCs w:val="24"/>
              </w:rPr>
            </w:pPr>
          </w:p>
        </w:tc>
      </w:tr>
      <w:tr w:rsidR="00EC210E" w14:paraId="71A393D2" w14:textId="77777777" w:rsidTr="00016C28">
        <w:tc>
          <w:tcPr>
            <w:tcW w:w="959" w:type="dxa"/>
            <w:tcBorders>
              <w:top w:val="single" w:sz="4" w:space="0" w:color="auto"/>
              <w:left w:val="single" w:sz="4" w:space="0" w:color="auto"/>
              <w:bottom w:val="single" w:sz="4" w:space="0" w:color="auto"/>
              <w:right w:val="single" w:sz="4" w:space="0" w:color="auto"/>
            </w:tcBorders>
            <w:hideMark/>
          </w:tcPr>
          <w:p w14:paraId="10E8773A" w14:textId="77777777" w:rsidR="00EC210E" w:rsidRDefault="00EC210E">
            <w:pPr>
              <w:widowControl w:val="0"/>
              <w:autoSpaceDE w:val="0"/>
              <w:autoSpaceDN w:val="0"/>
              <w:adjustRightInd w:val="0"/>
              <w:jc w:val="center"/>
              <w:rPr>
                <w:rFonts w:cs="Arial"/>
                <w:b w:val="0"/>
                <w:szCs w:val="24"/>
              </w:rPr>
            </w:pPr>
            <w:r>
              <w:rPr>
                <w:rFonts w:cs="Arial"/>
                <w:b w:val="0"/>
                <w:szCs w:val="24"/>
              </w:rPr>
              <w:t>3</w:t>
            </w:r>
          </w:p>
        </w:tc>
        <w:tc>
          <w:tcPr>
            <w:tcW w:w="1134" w:type="dxa"/>
            <w:tcBorders>
              <w:top w:val="single" w:sz="4" w:space="0" w:color="auto"/>
              <w:left w:val="single" w:sz="4" w:space="0" w:color="auto"/>
              <w:bottom w:val="single" w:sz="4" w:space="0" w:color="auto"/>
              <w:right w:val="single" w:sz="4" w:space="0" w:color="auto"/>
            </w:tcBorders>
          </w:tcPr>
          <w:p w14:paraId="4132A158" w14:textId="77777777" w:rsidR="00EC210E" w:rsidRDefault="00EC210E">
            <w:pPr>
              <w:widowControl w:val="0"/>
              <w:autoSpaceDE w:val="0"/>
              <w:autoSpaceDN w:val="0"/>
              <w:adjustRightInd w:val="0"/>
              <w:rPr>
                <w:rFonts w:cs="Arial"/>
                <w:b w:val="0"/>
                <w:szCs w:val="24"/>
              </w:rPr>
            </w:pPr>
          </w:p>
          <w:p w14:paraId="4E648C6D" w14:textId="6588738D" w:rsidR="00EC210E" w:rsidRDefault="00EC210E">
            <w:pPr>
              <w:widowControl w:val="0"/>
              <w:autoSpaceDE w:val="0"/>
              <w:autoSpaceDN w:val="0"/>
              <w:adjustRightInd w:val="0"/>
              <w:rPr>
                <w:rFonts w:cs="Arial"/>
                <w:b w:val="0"/>
                <w:szCs w:val="24"/>
              </w:rPr>
            </w:pPr>
            <w:r>
              <w:rPr>
                <w:rFonts w:cs="Arial"/>
                <w:b w:val="0"/>
                <w:szCs w:val="24"/>
              </w:rPr>
              <w:t>Jan 2</w:t>
            </w:r>
            <w:r w:rsidR="00A9796C">
              <w:rPr>
                <w:rFonts w:cs="Arial"/>
                <w:b w:val="0"/>
                <w:szCs w:val="24"/>
              </w:rPr>
              <w:t>2</w:t>
            </w:r>
          </w:p>
        </w:tc>
        <w:tc>
          <w:tcPr>
            <w:tcW w:w="4109" w:type="dxa"/>
            <w:tcBorders>
              <w:top w:val="single" w:sz="4" w:space="0" w:color="auto"/>
              <w:left w:val="single" w:sz="4" w:space="0" w:color="auto"/>
              <w:bottom w:val="single" w:sz="4" w:space="0" w:color="auto"/>
              <w:right w:val="single" w:sz="4" w:space="0" w:color="auto"/>
            </w:tcBorders>
          </w:tcPr>
          <w:p w14:paraId="026C1B2D" w14:textId="77777777" w:rsidR="00EC210E" w:rsidRDefault="00EC210E">
            <w:pPr>
              <w:rPr>
                <w:rFonts w:cs="Arial"/>
                <w:b w:val="0"/>
                <w:szCs w:val="24"/>
              </w:rPr>
            </w:pPr>
            <w:r>
              <w:rPr>
                <w:rFonts w:cs="Arial"/>
                <w:b w:val="0"/>
                <w:szCs w:val="24"/>
              </w:rPr>
              <w:t>Partnering vs. Participating in CBR</w:t>
            </w:r>
          </w:p>
          <w:p w14:paraId="3E4CDDA8" w14:textId="288D5962" w:rsidR="00E55D11" w:rsidRDefault="00E55D11">
            <w:pPr>
              <w:rPr>
                <w:rFonts w:cs="Arial"/>
                <w:b w:val="0"/>
                <w:szCs w:val="24"/>
              </w:rPr>
            </w:pPr>
            <w:r>
              <w:rPr>
                <w:rFonts w:cs="Arial"/>
                <w:b w:val="0"/>
                <w:szCs w:val="24"/>
              </w:rPr>
              <w:t xml:space="preserve">Guest: </w:t>
            </w:r>
            <w:r w:rsidRPr="00210E6C">
              <w:rPr>
                <w:rFonts w:cs="Arial"/>
                <w:szCs w:val="24"/>
              </w:rPr>
              <w:t>Stephanie Zubriski</w:t>
            </w:r>
          </w:p>
          <w:p w14:paraId="085B3E34" w14:textId="77777777" w:rsidR="00EC210E" w:rsidRDefault="00EC210E">
            <w:pPr>
              <w:pStyle w:val="ListParagraph"/>
              <w:widowControl w:val="0"/>
              <w:autoSpaceDE w:val="0"/>
              <w:autoSpaceDN w:val="0"/>
              <w:adjustRightInd w:val="0"/>
              <w:rPr>
                <w:rFonts w:ascii="Arial" w:hAnsi="Arial" w:cs="Arial"/>
                <w:b w:val="0"/>
                <w:sz w:val="24"/>
                <w:szCs w:val="24"/>
              </w:rPr>
            </w:pPr>
          </w:p>
        </w:tc>
        <w:tc>
          <w:tcPr>
            <w:tcW w:w="3683" w:type="dxa"/>
            <w:tcBorders>
              <w:top w:val="single" w:sz="4" w:space="0" w:color="auto"/>
              <w:left w:val="single" w:sz="4" w:space="0" w:color="auto"/>
              <w:bottom w:val="single" w:sz="4" w:space="0" w:color="auto"/>
              <w:right w:val="single" w:sz="4" w:space="0" w:color="auto"/>
            </w:tcBorders>
          </w:tcPr>
          <w:p w14:paraId="2F6E14DB" w14:textId="77777777" w:rsidR="00EC210E" w:rsidRDefault="00EC210E">
            <w:pPr>
              <w:rPr>
                <w:b w:val="0"/>
                <w:bCs/>
                <w:lang w:val="fr-CA"/>
              </w:rPr>
            </w:pPr>
            <w:r>
              <w:rPr>
                <w:b w:val="0"/>
                <w:bCs/>
                <w:lang w:val="fr-CA"/>
              </w:rPr>
              <w:t xml:space="preserve">Chapter 2 in C. Etmanski et al. </w:t>
            </w:r>
          </w:p>
          <w:p w14:paraId="2D22D65D" w14:textId="77777777" w:rsidR="00EC210E" w:rsidRDefault="00EC210E">
            <w:pPr>
              <w:rPr>
                <w:b w:val="0"/>
                <w:bCs/>
                <w:lang w:val="fr-CA"/>
              </w:rPr>
            </w:pPr>
          </w:p>
          <w:p w14:paraId="2C867CF3" w14:textId="77777777" w:rsidR="00EC210E" w:rsidRDefault="00EC210E">
            <w:pPr>
              <w:rPr>
                <w:b w:val="0"/>
                <w:bCs/>
              </w:rPr>
            </w:pPr>
            <w:r>
              <w:rPr>
                <w:b w:val="0"/>
                <w:bCs/>
              </w:rPr>
              <w:t>Arieli, D., Friedman, V.J. (2009). The Paradox of Participation in Action Research. Action Research, 7(3), 263-290.</w:t>
            </w:r>
          </w:p>
          <w:p w14:paraId="3E74393A" w14:textId="77777777" w:rsidR="00EC210E" w:rsidRDefault="00EC210E">
            <w:pPr>
              <w:rPr>
                <w:b w:val="0"/>
                <w:bCs/>
              </w:rPr>
            </w:pPr>
          </w:p>
          <w:p w14:paraId="0BC43815" w14:textId="77777777" w:rsidR="00EC210E" w:rsidRDefault="00EC210E">
            <w:pPr>
              <w:rPr>
                <w:b w:val="0"/>
                <w:bCs/>
              </w:rPr>
            </w:pPr>
            <w:r>
              <w:rPr>
                <w:b w:val="0"/>
                <w:bCs/>
              </w:rPr>
              <w:t xml:space="preserve">Travers, R., Wilson, M., Flicker, S., Guta, A., Bereket, T., </w:t>
            </w:r>
            <w:r>
              <w:rPr>
                <w:b w:val="0"/>
                <w:bCs/>
              </w:rPr>
              <w:br/>
            </w:r>
          </w:p>
          <w:p w14:paraId="01A83CDF" w14:textId="77777777" w:rsidR="00EC210E" w:rsidRDefault="00EC210E">
            <w:pPr>
              <w:rPr>
                <w:b w:val="0"/>
                <w:bCs/>
              </w:rPr>
            </w:pPr>
            <w:r>
              <w:rPr>
                <w:b w:val="0"/>
                <w:bCs/>
              </w:rPr>
              <w:lastRenderedPageBreak/>
              <w:t xml:space="preserve">McKay,C.,  van der Muelen, A., Cleverly, S., Dickie, M., Globerman, J., &amp; Rourk, S.B. (2008). The Greater Involvement of People living with AIDS Principle: Theory vs. Practice in Ontario’s HIV/AIDS Community-Based Research Sector. </w:t>
            </w:r>
            <w:r>
              <w:rPr>
                <w:b w:val="0"/>
                <w:bCs/>
                <w:i/>
              </w:rPr>
              <w:t>AIDS Care</w:t>
            </w:r>
            <w:r>
              <w:rPr>
                <w:b w:val="0"/>
                <w:bCs/>
              </w:rPr>
              <w:t>,  20(6), 615-624.</w:t>
            </w:r>
          </w:p>
          <w:p w14:paraId="2E33F62D" w14:textId="77777777" w:rsidR="00EC210E" w:rsidRDefault="00EC210E">
            <w:pPr>
              <w:rPr>
                <w:b w:val="0"/>
                <w:bCs/>
              </w:rPr>
            </w:pPr>
          </w:p>
          <w:p w14:paraId="1A77FAE9" w14:textId="77777777" w:rsidR="00EC210E" w:rsidRDefault="00EC210E">
            <w:pPr>
              <w:rPr>
                <w:b w:val="0"/>
              </w:rPr>
            </w:pPr>
            <w:r>
              <w:rPr>
                <w:b w:val="0"/>
              </w:rPr>
              <w:t xml:space="preserve">Pinto, R.M., McKay, M.M., Escobar, C. (2008). “you’ve gotta know the community”: Minority Women Make Recommendations About Community-Focused Health Research. </w:t>
            </w:r>
            <w:r>
              <w:rPr>
                <w:b w:val="0"/>
                <w:i/>
              </w:rPr>
              <w:t>Women and Health</w:t>
            </w:r>
            <w:r>
              <w:rPr>
                <w:b w:val="0"/>
              </w:rPr>
              <w:t>, 47(1), 83-104.</w:t>
            </w:r>
          </w:p>
          <w:p w14:paraId="07E18478" w14:textId="77777777" w:rsidR="00EC210E" w:rsidRDefault="00EC210E">
            <w:pPr>
              <w:widowControl w:val="0"/>
              <w:autoSpaceDE w:val="0"/>
              <w:autoSpaceDN w:val="0"/>
              <w:adjustRightInd w:val="0"/>
              <w:rPr>
                <w:rFonts w:cs="Arial"/>
                <w:szCs w:val="24"/>
              </w:rPr>
            </w:pPr>
          </w:p>
        </w:tc>
      </w:tr>
      <w:tr w:rsidR="00EC210E" w14:paraId="210725F0" w14:textId="77777777" w:rsidTr="00016C28">
        <w:tc>
          <w:tcPr>
            <w:tcW w:w="959" w:type="dxa"/>
            <w:tcBorders>
              <w:top w:val="single" w:sz="4" w:space="0" w:color="auto"/>
              <w:left w:val="single" w:sz="4" w:space="0" w:color="auto"/>
              <w:bottom w:val="single" w:sz="4" w:space="0" w:color="auto"/>
              <w:right w:val="single" w:sz="4" w:space="0" w:color="auto"/>
            </w:tcBorders>
            <w:hideMark/>
          </w:tcPr>
          <w:p w14:paraId="2B6AC588" w14:textId="77777777" w:rsidR="00EC210E" w:rsidRDefault="00EC210E">
            <w:pPr>
              <w:widowControl w:val="0"/>
              <w:autoSpaceDE w:val="0"/>
              <w:autoSpaceDN w:val="0"/>
              <w:adjustRightInd w:val="0"/>
              <w:jc w:val="center"/>
              <w:rPr>
                <w:rFonts w:cs="Arial"/>
                <w:b w:val="0"/>
                <w:szCs w:val="24"/>
              </w:rPr>
            </w:pPr>
            <w:r>
              <w:rPr>
                <w:rFonts w:cs="Arial"/>
                <w:b w:val="0"/>
                <w:szCs w:val="24"/>
              </w:rPr>
              <w:lastRenderedPageBreak/>
              <w:t>4</w:t>
            </w:r>
          </w:p>
        </w:tc>
        <w:tc>
          <w:tcPr>
            <w:tcW w:w="1134" w:type="dxa"/>
            <w:tcBorders>
              <w:top w:val="single" w:sz="4" w:space="0" w:color="auto"/>
              <w:left w:val="single" w:sz="4" w:space="0" w:color="auto"/>
              <w:bottom w:val="single" w:sz="4" w:space="0" w:color="auto"/>
              <w:right w:val="single" w:sz="4" w:space="0" w:color="auto"/>
            </w:tcBorders>
          </w:tcPr>
          <w:p w14:paraId="3A28B35F" w14:textId="77777777" w:rsidR="00EC210E" w:rsidRDefault="00EC210E">
            <w:pPr>
              <w:widowControl w:val="0"/>
              <w:autoSpaceDE w:val="0"/>
              <w:autoSpaceDN w:val="0"/>
              <w:adjustRightInd w:val="0"/>
              <w:rPr>
                <w:rFonts w:cs="Arial"/>
                <w:b w:val="0"/>
                <w:szCs w:val="24"/>
              </w:rPr>
            </w:pPr>
          </w:p>
          <w:p w14:paraId="4676097F" w14:textId="7B6F62E3" w:rsidR="00EC210E" w:rsidRDefault="00A9796C">
            <w:pPr>
              <w:widowControl w:val="0"/>
              <w:autoSpaceDE w:val="0"/>
              <w:autoSpaceDN w:val="0"/>
              <w:adjustRightInd w:val="0"/>
              <w:rPr>
                <w:rFonts w:cs="Arial"/>
                <w:b w:val="0"/>
                <w:szCs w:val="24"/>
              </w:rPr>
            </w:pPr>
            <w:r>
              <w:rPr>
                <w:rFonts w:cs="Arial"/>
                <w:b w:val="0"/>
                <w:szCs w:val="24"/>
              </w:rPr>
              <w:t>Jan 29</w:t>
            </w:r>
          </w:p>
        </w:tc>
        <w:tc>
          <w:tcPr>
            <w:tcW w:w="4109" w:type="dxa"/>
            <w:tcBorders>
              <w:top w:val="single" w:sz="4" w:space="0" w:color="auto"/>
              <w:left w:val="single" w:sz="4" w:space="0" w:color="auto"/>
              <w:bottom w:val="single" w:sz="4" w:space="0" w:color="auto"/>
              <w:right w:val="single" w:sz="4" w:space="0" w:color="auto"/>
            </w:tcBorders>
            <w:hideMark/>
          </w:tcPr>
          <w:p w14:paraId="395719A4" w14:textId="77777777" w:rsidR="00EC210E" w:rsidRDefault="00EC210E">
            <w:pPr>
              <w:widowControl w:val="0"/>
              <w:autoSpaceDE w:val="0"/>
              <w:autoSpaceDN w:val="0"/>
              <w:adjustRightInd w:val="0"/>
              <w:rPr>
                <w:rFonts w:cs="Arial"/>
                <w:b w:val="0"/>
                <w:szCs w:val="24"/>
              </w:rPr>
            </w:pPr>
            <w:r>
              <w:rPr>
                <w:rFonts w:cs="Arial"/>
                <w:b w:val="0"/>
                <w:szCs w:val="24"/>
              </w:rPr>
              <w:t>Collaboration and Control in CBR</w:t>
            </w:r>
          </w:p>
          <w:p w14:paraId="5D7F6D83" w14:textId="39D1B598" w:rsidR="00EC210E" w:rsidRDefault="000C4CF9" w:rsidP="00A9796C">
            <w:pPr>
              <w:widowControl w:val="0"/>
              <w:autoSpaceDE w:val="0"/>
              <w:autoSpaceDN w:val="0"/>
              <w:adjustRightInd w:val="0"/>
              <w:rPr>
                <w:rFonts w:cs="Arial"/>
                <w:b w:val="0"/>
                <w:szCs w:val="24"/>
              </w:rPr>
            </w:pPr>
            <w:r>
              <w:rPr>
                <w:rFonts w:cs="Arial"/>
                <w:b w:val="0"/>
                <w:szCs w:val="24"/>
              </w:rPr>
              <w:t>Guest Presenter</w:t>
            </w:r>
            <w:r w:rsidR="00EC210E">
              <w:rPr>
                <w:rFonts w:cs="Arial"/>
                <w:b w:val="0"/>
                <w:szCs w:val="24"/>
              </w:rPr>
              <w:t xml:space="preserve">: </w:t>
            </w:r>
            <w:r w:rsidR="00A9796C">
              <w:rPr>
                <w:rFonts w:cs="Arial"/>
                <w:szCs w:val="24"/>
              </w:rPr>
              <w:t>Allyson Ion</w:t>
            </w:r>
          </w:p>
        </w:tc>
        <w:tc>
          <w:tcPr>
            <w:tcW w:w="3683" w:type="dxa"/>
            <w:tcBorders>
              <w:top w:val="single" w:sz="4" w:space="0" w:color="auto"/>
              <w:left w:val="single" w:sz="4" w:space="0" w:color="auto"/>
              <w:bottom w:val="single" w:sz="4" w:space="0" w:color="auto"/>
              <w:right w:val="single" w:sz="4" w:space="0" w:color="auto"/>
            </w:tcBorders>
          </w:tcPr>
          <w:p w14:paraId="7C99189F" w14:textId="77777777" w:rsidR="00EC210E" w:rsidRDefault="00EC210E">
            <w:pPr>
              <w:rPr>
                <w:b w:val="0"/>
              </w:rPr>
            </w:pPr>
            <w:r>
              <w:rPr>
                <w:b w:val="0"/>
              </w:rPr>
              <w:t xml:space="preserve">Maiter, S., Joseph, A., Shan, N., Aqeel, S. (2013). Doing Participatory Qualitative Research: development of a shared critical consciousness with racial minority research advisory group members. </w:t>
            </w:r>
            <w:r>
              <w:rPr>
                <w:b w:val="0"/>
                <w:i/>
              </w:rPr>
              <w:t>Qualitative Research</w:t>
            </w:r>
            <w:r>
              <w:rPr>
                <w:b w:val="0"/>
              </w:rPr>
              <w:t>, 13(2), 198-213.</w:t>
            </w:r>
          </w:p>
          <w:p w14:paraId="18528A65" w14:textId="77777777" w:rsidR="00EC210E" w:rsidRDefault="00EC210E">
            <w:pPr>
              <w:rPr>
                <w:b w:val="0"/>
                <w:lang w:val="en-CA"/>
              </w:rPr>
            </w:pPr>
          </w:p>
          <w:p w14:paraId="3193F745" w14:textId="77777777" w:rsidR="00EC210E" w:rsidRDefault="00EC210E">
            <w:pPr>
              <w:rPr>
                <w:b w:val="0"/>
                <w:lang w:val="en-CA"/>
              </w:rPr>
            </w:pPr>
            <w:r>
              <w:rPr>
                <w:b w:val="0"/>
                <w:lang w:val="en-CA"/>
              </w:rPr>
              <w:t>Travers, R., Pyne, J., Bauer, G., Munro, L., Giambrone, B., Hammond, R., &amp; Scanlon, K. (2013). ‘Community Control’ in CBPR: Challenges experienced and questions raised from the Trans PULSE Project. 11(4), 403-422.</w:t>
            </w:r>
          </w:p>
          <w:p w14:paraId="1481DCD9" w14:textId="77777777" w:rsidR="00EC210E" w:rsidRDefault="00EC210E">
            <w:pPr>
              <w:rPr>
                <w:b w:val="0"/>
                <w:lang w:val="en-CA"/>
              </w:rPr>
            </w:pPr>
          </w:p>
          <w:p w14:paraId="55022EF2" w14:textId="77777777" w:rsidR="00EC210E" w:rsidRDefault="00EC210E">
            <w:pPr>
              <w:rPr>
                <w:b w:val="0"/>
                <w:lang w:val="en-CA"/>
              </w:rPr>
            </w:pPr>
            <w:r>
              <w:rPr>
                <w:b w:val="0"/>
                <w:lang w:val="en-CA"/>
              </w:rPr>
              <w:t xml:space="preserve">Snarch, B. (2004). Ownership, Control, Access and Possession: (OCAP) or Self-Determination Applied to Research: A critical analysis of contemporary First Nations </w:t>
            </w:r>
            <w:r>
              <w:rPr>
                <w:b w:val="0"/>
                <w:lang w:val="en-CA"/>
              </w:rPr>
              <w:lastRenderedPageBreak/>
              <w:t xml:space="preserve">Research and Some Options for First Nations Communities. </w:t>
            </w:r>
          </w:p>
          <w:p w14:paraId="4FCFEA02" w14:textId="77777777" w:rsidR="00EC210E" w:rsidRDefault="00EC210E">
            <w:pPr>
              <w:rPr>
                <w:b w:val="0"/>
                <w:lang w:val="en-CA"/>
              </w:rPr>
            </w:pPr>
          </w:p>
          <w:p w14:paraId="76511E5F" w14:textId="77777777" w:rsidR="00EC210E" w:rsidRDefault="00EC210E">
            <w:pPr>
              <w:rPr>
                <w:rFonts w:cs="Arial"/>
                <w:szCs w:val="24"/>
              </w:rPr>
            </w:pPr>
            <w:r>
              <w:rPr>
                <w:b w:val="0"/>
                <w:i/>
                <w:lang w:val="en-CA"/>
              </w:rPr>
              <w:t>Journal of Aboriginal Health</w:t>
            </w:r>
            <w:r>
              <w:rPr>
                <w:b w:val="0"/>
                <w:lang w:val="en-CA"/>
              </w:rPr>
              <w:t>, pp.80-95.</w:t>
            </w:r>
          </w:p>
        </w:tc>
      </w:tr>
      <w:tr w:rsidR="00EC210E" w14:paraId="7F8AEB5D" w14:textId="77777777" w:rsidTr="00016C28">
        <w:tc>
          <w:tcPr>
            <w:tcW w:w="959" w:type="dxa"/>
            <w:tcBorders>
              <w:top w:val="single" w:sz="4" w:space="0" w:color="auto"/>
              <w:left w:val="single" w:sz="4" w:space="0" w:color="auto"/>
              <w:bottom w:val="single" w:sz="4" w:space="0" w:color="auto"/>
              <w:right w:val="single" w:sz="4" w:space="0" w:color="auto"/>
            </w:tcBorders>
            <w:hideMark/>
          </w:tcPr>
          <w:p w14:paraId="2A4732BE" w14:textId="77777777" w:rsidR="00EC210E" w:rsidRDefault="00EC210E">
            <w:pPr>
              <w:widowControl w:val="0"/>
              <w:autoSpaceDE w:val="0"/>
              <w:autoSpaceDN w:val="0"/>
              <w:adjustRightInd w:val="0"/>
              <w:jc w:val="center"/>
              <w:rPr>
                <w:rFonts w:cs="Arial"/>
                <w:b w:val="0"/>
                <w:szCs w:val="24"/>
              </w:rPr>
            </w:pPr>
            <w:r>
              <w:rPr>
                <w:rFonts w:cs="Arial"/>
                <w:b w:val="0"/>
                <w:szCs w:val="24"/>
              </w:rPr>
              <w:lastRenderedPageBreak/>
              <w:t>5</w:t>
            </w:r>
          </w:p>
        </w:tc>
        <w:tc>
          <w:tcPr>
            <w:tcW w:w="1134" w:type="dxa"/>
            <w:tcBorders>
              <w:top w:val="single" w:sz="4" w:space="0" w:color="auto"/>
              <w:left w:val="single" w:sz="4" w:space="0" w:color="auto"/>
              <w:bottom w:val="single" w:sz="4" w:space="0" w:color="auto"/>
              <w:right w:val="single" w:sz="4" w:space="0" w:color="auto"/>
            </w:tcBorders>
            <w:hideMark/>
          </w:tcPr>
          <w:p w14:paraId="0872729A" w14:textId="05202043" w:rsidR="00EC210E" w:rsidRDefault="00EC210E">
            <w:pPr>
              <w:widowControl w:val="0"/>
              <w:autoSpaceDE w:val="0"/>
              <w:autoSpaceDN w:val="0"/>
              <w:adjustRightInd w:val="0"/>
              <w:rPr>
                <w:rFonts w:cs="Arial"/>
                <w:b w:val="0"/>
                <w:szCs w:val="24"/>
              </w:rPr>
            </w:pPr>
            <w:r>
              <w:rPr>
                <w:rFonts w:cs="Arial"/>
                <w:b w:val="0"/>
                <w:szCs w:val="24"/>
              </w:rPr>
              <w:t xml:space="preserve">Feb </w:t>
            </w:r>
            <w:r w:rsidR="00A9796C">
              <w:rPr>
                <w:rFonts w:cs="Arial"/>
                <w:b w:val="0"/>
                <w:szCs w:val="24"/>
              </w:rPr>
              <w:t>5</w:t>
            </w:r>
          </w:p>
        </w:tc>
        <w:tc>
          <w:tcPr>
            <w:tcW w:w="4109" w:type="dxa"/>
            <w:tcBorders>
              <w:top w:val="single" w:sz="4" w:space="0" w:color="auto"/>
              <w:left w:val="single" w:sz="4" w:space="0" w:color="auto"/>
              <w:bottom w:val="single" w:sz="4" w:space="0" w:color="auto"/>
              <w:right w:val="single" w:sz="4" w:space="0" w:color="auto"/>
            </w:tcBorders>
            <w:hideMark/>
          </w:tcPr>
          <w:p w14:paraId="29A32DAD" w14:textId="77777777" w:rsidR="00EC210E" w:rsidRDefault="00EC210E">
            <w:pPr>
              <w:widowControl w:val="0"/>
              <w:autoSpaceDE w:val="0"/>
              <w:autoSpaceDN w:val="0"/>
              <w:adjustRightInd w:val="0"/>
              <w:rPr>
                <w:rFonts w:cs="Arial"/>
                <w:b w:val="0"/>
                <w:szCs w:val="24"/>
              </w:rPr>
            </w:pPr>
            <w:r>
              <w:rPr>
                <w:rFonts w:cs="Arial"/>
                <w:b w:val="0"/>
                <w:szCs w:val="24"/>
              </w:rPr>
              <w:t>Teaching, Learning and Doing CBR</w:t>
            </w:r>
          </w:p>
          <w:p w14:paraId="08B350DF" w14:textId="77777777" w:rsidR="008A087F" w:rsidRDefault="00B123AA">
            <w:pPr>
              <w:widowControl w:val="0"/>
              <w:autoSpaceDE w:val="0"/>
              <w:autoSpaceDN w:val="0"/>
              <w:adjustRightInd w:val="0"/>
              <w:rPr>
                <w:rFonts w:cs="Arial"/>
                <w:szCs w:val="24"/>
              </w:rPr>
            </w:pPr>
            <w:r>
              <w:rPr>
                <w:rFonts w:cs="Arial"/>
                <w:b w:val="0"/>
                <w:szCs w:val="24"/>
              </w:rPr>
              <w:t xml:space="preserve">Guest Presenter: </w:t>
            </w:r>
            <w:r w:rsidRPr="007606F9">
              <w:rPr>
                <w:rFonts w:cs="Arial"/>
                <w:szCs w:val="24"/>
              </w:rPr>
              <w:t>Doe O’Brien Teengs</w:t>
            </w:r>
          </w:p>
          <w:p w14:paraId="741C145F" w14:textId="52E52CC0" w:rsidR="007606F9" w:rsidRDefault="007606F9">
            <w:pPr>
              <w:widowControl w:val="0"/>
              <w:autoSpaceDE w:val="0"/>
              <w:autoSpaceDN w:val="0"/>
              <w:adjustRightInd w:val="0"/>
              <w:rPr>
                <w:rFonts w:cs="Arial"/>
                <w:b w:val="0"/>
                <w:szCs w:val="24"/>
              </w:rPr>
            </w:pPr>
          </w:p>
        </w:tc>
        <w:tc>
          <w:tcPr>
            <w:tcW w:w="3683" w:type="dxa"/>
            <w:tcBorders>
              <w:top w:val="single" w:sz="4" w:space="0" w:color="auto"/>
              <w:left w:val="single" w:sz="4" w:space="0" w:color="auto"/>
              <w:bottom w:val="single" w:sz="4" w:space="0" w:color="auto"/>
              <w:right w:val="single" w:sz="4" w:space="0" w:color="auto"/>
            </w:tcBorders>
          </w:tcPr>
          <w:p w14:paraId="74466822" w14:textId="77777777" w:rsidR="00EC210E" w:rsidRDefault="00EC210E">
            <w:pPr>
              <w:rPr>
                <w:b w:val="0"/>
              </w:rPr>
            </w:pPr>
            <w:r>
              <w:rPr>
                <w:b w:val="0"/>
              </w:rPr>
              <w:t xml:space="preserve">Chapters 4 and 5 in C. Etmanski et al. </w:t>
            </w:r>
          </w:p>
          <w:p w14:paraId="4C15E8A5" w14:textId="77777777" w:rsidR="00EC210E" w:rsidRDefault="00EC210E">
            <w:pPr>
              <w:widowControl w:val="0"/>
              <w:autoSpaceDE w:val="0"/>
              <w:autoSpaceDN w:val="0"/>
              <w:adjustRightInd w:val="0"/>
              <w:rPr>
                <w:rFonts w:cs="Arial"/>
                <w:szCs w:val="24"/>
              </w:rPr>
            </w:pPr>
          </w:p>
        </w:tc>
      </w:tr>
      <w:tr w:rsidR="00EC210E" w14:paraId="7AA01190" w14:textId="77777777" w:rsidTr="00016C28">
        <w:tc>
          <w:tcPr>
            <w:tcW w:w="959" w:type="dxa"/>
            <w:tcBorders>
              <w:top w:val="single" w:sz="4" w:space="0" w:color="auto"/>
              <w:left w:val="single" w:sz="4" w:space="0" w:color="auto"/>
              <w:bottom w:val="single" w:sz="4" w:space="0" w:color="auto"/>
              <w:right w:val="single" w:sz="4" w:space="0" w:color="auto"/>
            </w:tcBorders>
            <w:hideMark/>
          </w:tcPr>
          <w:p w14:paraId="0F743E6E" w14:textId="77777777" w:rsidR="00EC210E" w:rsidRDefault="00EC210E">
            <w:pPr>
              <w:widowControl w:val="0"/>
              <w:autoSpaceDE w:val="0"/>
              <w:autoSpaceDN w:val="0"/>
              <w:adjustRightInd w:val="0"/>
              <w:jc w:val="center"/>
              <w:rPr>
                <w:rFonts w:cs="Arial"/>
                <w:b w:val="0"/>
                <w:szCs w:val="24"/>
              </w:rPr>
            </w:pPr>
            <w:r>
              <w:rPr>
                <w:rFonts w:cs="Arial"/>
                <w:b w:val="0"/>
                <w:szCs w:val="24"/>
              </w:rPr>
              <w:t>6</w:t>
            </w:r>
          </w:p>
        </w:tc>
        <w:tc>
          <w:tcPr>
            <w:tcW w:w="1134" w:type="dxa"/>
            <w:tcBorders>
              <w:top w:val="single" w:sz="4" w:space="0" w:color="auto"/>
              <w:left w:val="single" w:sz="4" w:space="0" w:color="auto"/>
              <w:bottom w:val="single" w:sz="4" w:space="0" w:color="auto"/>
              <w:right w:val="single" w:sz="4" w:space="0" w:color="auto"/>
            </w:tcBorders>
            <w:hideMark/>
          </w:tcPr>
          <w:p w14:paraId="798BCE4F" w14:textId="6A6F10F0" w:rsidR="00EC210E" w:rsidRDefault="00A9796C">
            <w:pPr>
              <w:widowControl w:val="0"/>
              <w:autoSpaceDE w:val="0"/>
              <w:autoSpaceDN w:val="0"/>
              <w:adjustRightInd w:val="0"/>
              <w:rPr>
                <w:rFonts w:cs="Arial"/>
                <w:b w:val="0"/>
                <w:szCs w:val="24"/>
              </w:rPr>
            </w:pPr>
            <w:r>
              <w:rPr>
                <w:rFonts w:cs="Arial"/>
                <w:b w:val="0"/>
                <w:szCs w:val="24"/>
              </w:rPr>
              <w:t>Feb 12</w:t>
            </w:r>
          </w:p>
        </w:tc>
        <w:tc>
          <w:tcPr>
            <w:tcW w:w="4109" w:type="dxa"/>
            <w:tcBorders>
              <w:top w:val="single" w:sz="4" w:space="0" w:color="auto"/>
              <w:left w:val="single" w:sz="4" w:space="0" w:color="auto"/>
              <w:bottom w:val="single" w:sz="4" w:space="0" w:color="auto"/>
              <w:right w:val="single" w:sz="4" w:space="0" w:color="auto"/>
            </w:tcBorders>
          </w:tcPr>
          <w:p w14:paraId="0376B06D" w14:textId="77777777" w:rsidR="00EC210E" w:rsidRDefault="00EC210E">
            <w:pPr>
              <w:widowControl w:val="0"/>
              <w:autoSpaceDE w:val="0"/>
              <w:autoSpaceDN w:val="0"/>
              <w:adjustRightInd w:val="0"/>
              <w:spacing w:line="276" w:lineRule="auto"/>
              <w:ind w:right="-720"/>
              <w:rPr>
                <w:b w:val="0"/>
              </w:rPr>
            </w:pPr>
            <w:r>
              <w:rPr>
                <w:b w:val="0"/>
              </w:rPr>
              <w:t xml:space="preserve">Peer Researcher Involvement in </w:t>
            </w:r>
          </w:p>
          <w:p w14:paraId="7B5B05A8" w14:textId="77777777" w:rsidR="00EC210E" w:rsidRDefault="00EC210E">
            <w:pPr>
              <w:widowControl w:val="0"/>
              <w:autoSpaceDE w:val="0"/>
              <w:autoSpaceDN w:val="0"/>
              <w:adjustRightInd w:val="0"/>
              <w:spacing w:line="276" w:lineRule="auto"/>
              <w:ind w:right="-720"/>
              <w:rPr>
                <w:b w:val="0"/>
              </w:rPr>
            </w:pPr>
            <w:r>
              <w:rPr>
                <w:b w:val="0"/>
              </w:rPr>
              <w:t>CBR</w:t>
            </w:r>
          </w:p>
          <w:p w14:paraId="6DF509D8" w14:textId="715AFCE4" w:rsidR="00EC210E" w:rsidRPr="00BF57BF" w:rsidRDefault="00BF57BF">
            <w:pPr>
              <w:widowControl w:val="0"/>
              <w:autoSpaceDE w:val="0"/>
              <w:autoSpaceDN w:val="0"/>
              <w:adjustRightInd w:val="0"/>
              <w:spacing w:line="276" w:lineRule="auto"/>
              <w:ind w:right="-720"/>
            </w:pPr>
            <w:r>
              <w:rPr>
                <w:b w:val="0"/>
              </w:rPr>
              <w:t xml:space="preserve">Guest Presenters: </w:t>
            </w:r>
            <w:r w:rsidR="00E55D11">
              <w:t>Joan Rusza</w:t>
            </w:r>
            <w:r w:rsidR="006232E1">
              <w:t xml:space="preserve"> and Michael </w:t>
            </w:r>
          </w:p>
          <w:p w14:paraId="6C87A192" w14:textId="77777777" w:rsidR="00EC210E" w:rsidRDefault="00EC210E">
            <w:pPr>
              <w:widowControl w:val="0"/>
              <w:autoSpaceDE w:val="0"/>
              <w:autoSpaceDN w:val="0"/>
              <w:adjustRightInd w:val="0"/>
              <w:rPr>
                <w:rFonts w:cs="Arial"/>
                <w:szCs w:val="24"/>
              </w:rPr>
            </w:pPr>
          </w:p>
        </w:tc>
        <w:tc>
          <w:tcPr>
            <w:tcW w:w="3683" w:type="dxa"/>
            <w:tcBorders>
              <w:top w:val="single" w:sz="4" w:space="0" w:color="auto"/>
              <w:left w:val="single" w:sz="4" w:space="0" w:color="auto"/>
              <w:bottom w:val="single" w:sz="4" w:space="0" w:color="auto"/>
              <w:right w:val="single" w:sz="4" w:space="0" w:color="auto"/>
            </w:tcBorders>
          </w:tcPr>
          <w:p w14:paraId="5827EFF5" w14:textId="77777777" w:rsidR="00A9796C" w:rsidRDefault="00EC210E">
            <w:pPr>
              <w:pStyle w:val="BodyTextIndent"/>
              <w:spacing w:after="0"/>
              <w:ind w:left="0"/>
              <w:rPr>
                <w:b w:val="0"/>
              </w:rPr>
            </w:pPr>
            <w:r>
              <w:rPr>
                <w:b w:val="0"/>
              </w:rPr>
              <w:t>Greene, S., Ahluwalia, A., Watson, J., Tucker, R.,</w:t>
            </w:r>
            <w:r>
              <w:rPr>
                <w:b w:val="0"/>
                <w:vertAlign w:val="superscript"/>
              </w:rPr>
              <w:t xml:space="preserve"> </w:t>
            </w:r>
            <w:r>
              <w:rPr>
                <w:b w:val="0"/>
              </w:rPr>
              <w:t xml:space="preserve">Rourke, S.B., Koornstra, J., Sobota, M., Monette, L., Byers, S. (2009). Between Skepticism and Empowerment: The Experiences of Peer Research Assistants in HIV/AIDS, Housing and Homelessness Community-Based Research. </w:t>
            </w:r>
            <w:r>
              <w:rPr>
                <w:b w:val="0"/>
                <w:i/>
              </w:rPr>
              <w:t>International</w:t>
            </w:r>
            <w:r>
              <w:rPr>
                <w:b w:val="0"/>
              </w:rPr>
              <w:t xml:space="preserve"> </w:t>
            </w:r>
            <w:r>
              <w:rPr>
                <w:b w:val="0"/>
                <w:i/>
              </w:rPr>
              <w:t xml:space="preserve">Journal of Social Research Methodology, </w:t>
            </w:r>
            <w:r>
              <w:rPr>
                <w:b w:val="0"/>
              </w:rPr>
              <w:t>12(4): 361-373.</w:t>
            </w:r>
          </w:p>
          <w:p w14:paraId="5B172A3E" w14:textId="77777777" w:rsidR="00A9796C" w:rsidRDefault="00A9796C">
            <w:pPr>
              <w:pStyle w:val="BodyTextIndent"/>
              <w:spacing w:after="0"/>
              <w:ind w:left="0"/>
              <w:rPr>
                <w:b w:val="0"/>
              </w:rPr>
            </w:pPr>
          </w:p>
          <w:p w14:paraId="22BC7C18" w14:textId="77777777" w:rsidR="00A9796C" w:rsidRDefault="00A9796C" w:rsidP="00A9796C">
            <w:pPr>
              <w:pStyle w:val="BodyTextIndent"/>
              <w:spacing w:after="0"/>
              <w:ind w:left="0"/>
              <w:rPr>
                <w:b w:val="0"/>
              </w:rPr>
            </w:pPr>
            <w:r>
              <w:rPr>
                <w:b w:val="0"/>
              </w:rPr>
              <w:t xml:space="preserve">Greene, S. (2013). Peer Research Assistantships and the Ethics of Reciprocity in Community-based Participatory Research. </w:t>
            </w:r>
            <w:r>
              <w:rPr>
                <w:b w:val="0"/>
                <w:i/>
              </w:rPr>
              <w:t>Journal of Empirical Research on Human Research Ethics</w:t>
            </w:r>
            <w:r>
              <w:rPr>
                <w:b w:val="0"/>
              </w:rPr>
              <w:t xml:space="preserve">. 8 (2), 141-152. </w:t>
            </w:r>
          </w:p>
          <w:p w14:paraId="2A4E52DB" w14:textId="0F2D620C" w:rsidR="00EC210E" w:rsidRDefault="00EC210E">
            <w:pPr>
              <w:pStyle w:val="BodyTextIndent"/>
              <w:spacing w:after="0"/>
              <w:ind w:left="0"/>
              <w:rPr>
                <w:b w:val="0"/>
              </w:rPr>
            </w:pPr>
            <w:r>
              <w:rPr>
                <w:b w:val="0"/>
              </w:rPr>
              <w:t xml:space="preserve"> </w:t>
            </w:r>
          </w:p>
          <w:p w14:paraId="7566520A" w14:textId="77777777" w:rsidR="00EC210E" w:rsidRDefault="00EC210E">
            <w:pPr>
              <w:autoSpaceDE w:val="0"/>
              <w:autoSpaceDN w:val="0"/>
              <w:adjustRightInd w:val="0"/>
              <w:rPr>
                <w:rFonts w:eastAsiaTheme="minorHAnsi"/>
                <w:b w:val="0"/>
                <w:lang w:val="en-CA"/>
              </w:rPr>
            </w:pPr>
            <w:r>
              <w:rPr>
                <w:rFonts w:eastAsiaTheme="minorHAnsi"/>
                <w:b w:val="0"/>
                <w:lang w:val="en-CA"/>
              </w:rPr>
              <w:t>Warr, D., Mann, R., &amp; Tacticos, T. (2011). Using peer interviewing methods to explore place-based disadvantage: Dissolving the distance between suits and civilians.</w:t>
            </w:r>
          </w:p>
          <w:p w14:paraId="71664DE1" w14:textId="77777777" w:rsidR="00EC210E" w:rsidRDefault="00EC210E">
            <w:pPr>
              <w:autoSpaceDE w:val="0"/>
              <w:autoSpaceDN w:val="0"/>
              <w:adjustRightInd w:val="0"/>
              <w:rPr>
                <w:rFonts w:eastAsiaTheme="minorHAnsi"/>
                <w:b w:val="0"/>
                <w:lang w:val="en-CA"/>
              </w:rPr>
            </w:pPr>
            <w:r>
              <w:rPr>
                <w:rFonts w:eastAsiaTheme="minorHAnsi"/>
                <w:b w:val="0"/>
                <w:i/>
                <w:lang w:val="en-CA"/>
              </w:rPr>
              <w:t>International Journal of Social Research Methodology</w:t>
            </w:r>
            <w:r>
              <w:rPr>
                <w:rFonts w:eastAsiaTheme="minorHAnsi"/>
                <w:b w:val="0"/>
                <w:lang w:val="en-CA"/>
              </w:rPr>
              <w:t>, 14(5),</w:t>
            </w:r>
          </w:p>
          <w:p w14:paraId="7CC6A181" w14:textId="77777777" w:rsidR="00EC210E" w:rsidRDefault="00EC210E">
            <w:pPr>
              <w:pStyle w:val="BodyTextIndent"/>
              <w:spacing w:after="0"/>
              <w:ind w:left="0"/>
              <w:rPr>
                <w:b w:val="0"/>
              </w:rPr>
            </w:pPr>
            <w:r>
              <w:rPr>
                <w:rFonts w:eastAsiaTheme="minorHAnsi"/>
                <w:b w:val="0"/>
                <w:lang w:val="en-CA"/>
              </w:rPr>
              <w:t>337–352.</w:t>
            </w:r>
          </w:p>
          <w:p w14:paraId="6B2EB9F0" w14:textId="77777777" w:rsidR="00EC210E" w:rsidRDefault="00EC210E">
            <w:pPr>
              <w:pStyle w:val="ListParagraph"/>
              <w:widowControl w:val="0"/>
              <w:autoSpaceDE w:val="0"/>
              <w:autoSpaceDN w:val="0"/>
              <w:adjustRightInd w:val="0"/>
              <w:rPr>
                <w:rFonts w:ascii="Arial" w:hAnsi="Arial" w:cs="Arial"/>
                <w:sz w:val="24"/>
                <w:szCs w:val="24"/>
              </w:rPr>
            </w:pPr>
          </w:p>
        </w:tc>
      </w:tr>
      <w:tr w:rsidR="00EC210E" w14:paraId="3981E0F0" w14:textId="77777777" w:rsidTr="00016C28">
        <w:tc>
          <w:tcPr>
            <w:tcW w:w="959" w:type="dxa"/>
            <w:tcBorders>
              <w:top w:val="single" w:sz="4" w:space="0" w:color="auto"/>
              <w:left w:val="single" w:sz="4" w:space="0" w:color="auto"/>
              <w:bottom w:val="single" w:sz="4" w:space="0" w:color="auto"/>
              <w:right w:val="single" w:sz="4" w:space="0" w:color="auto"/>
            </w:tcBorders>
            <w:hideMark/>
          </w:tcPr>
          <w:p w14:paraId="69CEB85F" w14:textId="41E9B51C" w:rsidR="00EC210E" w:rsidRDefault="00EC210E">
            <w:pPr>
              <w:widowControl w:val="0"/>
              <w:autoSpaceDE w:val="0"/>
              <w:autoSpaceDN w:val="0"/>
              <w:adjustRightInd w:val="0"/>
              <w:jc w:val="center"/>
              <w:rPr>
                <w:rFonts w:cs="Arial"/>
                <w:b w:val="0"/>
                <w:szCs w:val="24"/>
              </w:rPr>
            </w:pPr>
          </w:p>
        </w:tc>
        <w:tc>
          <w:tcPr>
            <w:tcW w:w="1134" w:type="dxa"/>
            <w:tcBorders>
              <w:top w:val="single" w:sz="4" w:space="0" w:color="auto"/>
              <w:left w:val="single" w:sz="4" w:space="0" w:color="auto"/>
              <w:bottom w:val="single" w:sz="4" w:space="0" w:color="auto"/>
              <w:right w:val="single" w:sz="4" w:space="0" w:color="auto"/>
            </w:tcBorders>
            <w:hideMark/>
          </w:tcPr>
          <w:p w14:paraId="3A84067A" w14:textId="2633CF15" w:rsidR="00EC210E" w:rsidRDefault="00EC210E">
            <w:pPr>
              <w:widowControl w:val="0"/>
              <w:autoSpaceDE w:val="0"/>
              <w:autoSpaceDN w:val="0"/>
              <w:adjustRightInd w:val="0"/>
              <w:rPr>
                <w:rFonts w:cs="Arial"/>
                <w:b w:val="0"/>
                <w:szCs w:val="24"/>
              </w:rPr>
            </w:pPr>
            <w:r>
              <w:rPr>
                <w:rFonts w:cs="Arial"/>
                <w:b w:val="0"/>
                <w:szCs w:val="24"/>
              </w:rPr>
              <w:t xml:space="preserve">Feb </w:t>
            </w:r>
            <w:r w:rsidR="00A9796C">
              <w:rPr>
                <w:rFonts w:cs="Arial"/>
                <w:b w:val="0"/>
                <w:szCs w:val="24"/>
              </w:rPr>
              <w:t>19</w:t>
            </w:r>
          </w:p>
        </w:tc>
        <w:tc>
          <w:tcPr>
            <w:tcW w:w="4109" w:type="dxa"/>
            <w:tcBorders>
              <w:top w:val="single" w:sz="4" w:space="0" w:color="auto"/>
              <w:left w:val="single" w:sz="4" w:space="0" w:color="auto"/>
              <w:bottom w:val="single" w:sz="4" w:space="0" w:color="auto"/>
              <w:right w:val="single" w:sz="4" w:space="0" w:color="auto"/>
            </w:tcBorders>
          </w:tcPr>
          <w:p w14:paraId="75F95AB9" w14:textId="77777777" w:rsidR="00EC210E" w:rsidRDefault="00EC210E">
            <w:pPr>
              <w:pStyle w:val="ListParagraph"/>
              <w:widowControl w:val="0"/>
              <w:autoSpaceDE w:val="0"/>
              <w:autoSpaceDN w:val="0"/>
              <w:adjustRightInd w:val="0"/>
              <w:rPr>
                <w:rFonts w:ascii="Arial" w:hAnsi="Arial" w:cs="Arial"/>
                <w:sz w:val="24"/>
                <w:szCs w:val="24"/>
                <w:lang w:val="en-US"/>
              </w:rPr>
            </w:pPr>
            <w:r>
              <w:rPr>
                <w:rFonts w:ascii="Arial" w:hAnsi="Arial" w:cs="Arial"/>
                <w:sz w:val="24"/>
                <w:szCs w:val="24"/>
                <w:lang w:val="en-US"/>
              </w:rPr>
              <w:t>READING WEEK</w:t>
            </w:r>
          </w:p>
          <w:p w14:paraId="7A1A5454" w14:textId="77777777" w:rsidR="00EC210E" w:rsidRDefault="00EC210E">
            <w:pPr>
              <w:widowControl w:val="0"/>
              <w:autoSpaceDE w:val="0"/>
              <w:autoSpaceDN w:val="0"/>
              <w:adjustRightInd w:val="0"/>
              <w:rPr>
                <w:rFonts w:cs="Arial"/>
                <w:szCs w:val="24"/>
              </w:rPr>
            </w:pPr>
          </w:p>
        </w:tc>
        <w:tc>
          <w:tcPr>
            <w:tcW w:w="3683" w:type="dxa"/>
            <w:tcBorders>
              <w:top w:val="single" w:sz="4" w:space="0" w:color="auto"/>
              <w:left w:val="single" w:sz="4" w:space="0" w:color="auto"/>
              <w:bottom w:val="single" w:sz="4" w:space="0" w:color="auto"/>
              <w:right w:val="single" w:sz="4" w:space="0" w:color="auto"/>
            </w:tcBorders>
          </w:tcPr>
          <w:p w14:paraId="5F2214B9" w14:textId="77777777" w:rsidR="00EC210E" w:rsidRDefault="00EC210E">
            <w:pPr>
              <w:pStyle w:val="BodyTextIndent"/>
              <w:spacing w:after="0"/>
              <w:ind w:left="0"/>
              <w:rPr>
                <w:rFonts w:cs="Arial"/>
                <w:b w:val="0"/>
              </w:rPr>
            </w:pPr>
          </w:p>
        </w:tc>
      </w:tr>
      <w:tr w:rsidR="00EC210E" w14:paraId="3A962540" w14:textId="77777777" w:rsidTr="00016C28">
        <w:tc>
          <w:tcPr>
            <w:tcW w:w="959" w:type="dxa"/>
            <w:tcBorders>
              <w:top w:val="single" w:sz="4" w:space="0" w:color="auto"/>
              <w:left w:val="single" w:sz="4" w:space="0" w:color="auto"/>
              <w:bottom w:val="single" w:sz="4" w:space="0" w:color="auto"/>
              <w:right w:val="single" w:sz="4" w:space="0" w:color="auto"/>
            </w:tcBorders>
            <w:hideMark/>
          </w:tcPr>
          <w:p w14:paraId="5B37441E" w14:textId="77777777" w:rsidR="00A9796C" w:rsidRDefault="00A9796C">
            <w:pPr>
              <w:widowControl w:val="0"/>
              <w:autoSpaceDE w:val="0"/>
              <w:autoSpaceDN w:val="0"/>
              <w:adjustRightInd w:val="0"/>
              <w:jc w:val="center"/>
              <w:rPr>
                <w:rFonts w:cs="Arial"/>
                <w:b w:val="0"/>
                <w:szCs w:val="24"/>
              </w:rPr>
            </w:pPr>
          </w:p>
          <w:p w14:paraId="469F27F6" w14:textId="79B73768" w:rsidR="00EC210E" w:rsidRDefault="00A9796C">
            <w:pPr>
              <w:widowControl w:val="0"/>
              <w:autoSpaceDE w:val="0"/>
              <w:autoSpaceDN w:val="0"/>
              <w:adjustRightInd w:val="0"/>
              <w:jc w:val="center"/>
              <w:rPr>
                <w:rFonts w:cs="Arial"/>
                <w:b w:val="0"/>
                <w:szCs w:val="24"/>
              </w:rPr>
            </w:pPr>
            <w:r>
              <w:rPr>
                <w:rFonts w:cs="Arial"/>
                <w:b w:val="0"/>
                <w:szCs w:val="24"/>
              </w:rPr>
              <w:lastRenderedPageBreak/>
              <w:t>7</w:t>
            </w:r>
          </w:p>
        </w:tc>
        <w:tc>
          <w:tcPr>
            <w:tcW w:w="1134" w:type="dxa"/>
            <w:tcBorders>
              <w:top w:val="single" w:sz="4" w:space="0" w:color="auto"/>
              <w:left w:val="single" w:sz="4" w:space="0" w:color="auto"/>
              <w:bottom w:val="single" w:sz="4" w:space="0" w:color="auto"/>
              <w:right w:val="single" w:sz="4" w:space="0" w:color="auto"/>
            </w:tcBorders>
            <w:hideMark/>
          </w:tcPr>
          <w:p w14:paraId="723D29BB" w14:textId="77777777" w:rsidR="00A9796C" w:rsidRDefault="00A9796C">
            <w:pPr>
              <w:widowControl w:val="0"/>
              <w:autoSpaceDE w:val="0"/>
              <w:autoSpaceDN w:val="0"/>
              <w:adjustRightInd w:val="0"/>
              <w:rPr>
                <w:rFonts w:cs="Arial"/>
                <w:b w:val="0"/>
                <w:szCs w:val="24"/>
              </w:rPr>
            </w:pPr>
          </w:p>
          <w:p w14:paraId="62CCDADD" w14:textId="11B49373" w:rsidR="00EC210E" w:rsidRDefault="00EC210E">
            <w:pPr>
              <w:widowControl w:val="0"/>
              <w:autoSpaceDE w:val="0"/>
              <w:autoSpaceDN w:val="0"/>
              <w:adjustRightInd w:val="0"/>
              <w:rPr>
                <w:rFonts w:cs="Arial"/>
                <w:b w:val="0"/>
                <w:szCs w:val="24"/>
              </w:rPr>
            </w:pPr>
            <w:r>
              <w:rPr>
                <w:rFonts w:cs="Arial"/>
                <w:b w:val="0"/>
                <w:szCs w:val="24"/>
              </w:rPr>
              <w:lastRenderedPageBreak/>
              <w:t>Feb 2</w:t>
            </w:r>
            <w:r w:rsidR="00A9796C">
              <w:rPr>
                <w:rFonts w:cs="Arial"/>
                <w:b w:val="0"/>
                <w:szCs w:val="24"/>
              </w:rPr>
              <w:t>6</w:t>
            </w:r>
          </w:p>
        </w:tc>
        <w:tc>
          <w:tcPr>
            <w:tcW w:w="4109" w:type="dxa"/>
            <w:tcBorders>
              <w:top w:val="single" w:sz="4" w:space="0" w:color="auto"/>
              <w:left w:val="single" w:sz="4" w:space="0" w:color="auto"/>
              <w:bottom w:val="single" w:sz="4" w:space="0" w:color="auto"/>
              <w:right w:val="single" w:sz="4" w:space="0" w:color="auto"/>
            </w:tcBorders>
          </w:tcPr>
          <w:p w14:paraId="2F76EE49" w14:textId="77777777" w:rsidR="00A9796C" w:rsidRDefault="00A9796C">
            <w:pPr>
              <w:jc w:val="both"/>
              <w:rPr>
                <w:b w:val="0"/>
              </w:rPr>
            </w:pPr>
          </w:p>
          <w:p w14:paraId="67F52999" w14:textId="77777777" w:rsidR="00EC210E" w:rsidRDefault="00EC210E">
            <w:pPr>
              <w:jc w:val="both"/>
              <w:rPr>
                <w:b w:val="0"/>
              </w:rPr>
            </w:pPr>
            <w:r>
              <w:rPr>
                <w:b w:val="0"/>
              </w:rPr>
              <w:lastRenderedPageBreak/>
              <w:t>Participatory Approaches to Data Collection and Analysis</w:t>
            </w:r>
          </w:p>
          <w:p w14:paraId="492D3678" w14:textId="77777777" w:rsidR="00016C28" w:rsidRDefault="00016C28">
            <w:pPr>
              <w:jc w:val="both"/>
              <w:rPr>
                <w:b w:val="0"/>
              </w:rPr>
            </w:pPr>
          </w:p>
          <w:p w14:paraId="668F7C6C" w14:textId="362CF549" w:rsidR="00016C28" w:rsidRPr="00E55D11" w:rsidRDefault="00016C28">
            <w:pPr>
              <w:jc w:val="both"/>
            </w:pPr>
            <w:r w:rsidRPr="00E55D11">
              <w:t>Community Leadership and Involvement Paper Due</w:t>
            </w:r>
          </w:p>
          <w:p w14:paraId="34432B93" w14:textId="77777777" w:rsidR="00016C28" w:rsidRDefault="00016C28">
            <w:pPr>
              <w:jc w:val="both"/>
              <w:rPr>
                <w:b w:val="0"/>
              </w:rPr>
            </w:pPr>
          </w:p>
          <w:p w14:paraId="0FEB6C2A" w14:textId="77777777" w:rsidR="00016C28" w:rsidRDefault="00016C28">
            <w:pPr>
              <w:jc w:val="both"/>
              <w:rPr>
                <w:b w:val="0"/>
                <w:lang w:val="en-CA" w:eastAsia="en-CA"/>
              </w:rPr>
            </w:pPr>
          </w:p>
          <w:p w14:paraId="4349C034" w14:textId="77777777" w:rsidR="00EC210E" w:rsidRDefault="00EC210E">
            <w:pPr>
              <w:widowControl w:val="0"/>
              <w:autoSpaceDE w:val="0"/>
              <w:autoSpaceDN w:val="0"/>
              <w:adjustRightInd w:val="0"/>
              <w:rPr>
                <w:rFonts w:cs="Arial"/>
                <w:szCs w:val="24"/>
                <w:lang w:val="en-CA"/>
              </w:rPr>
            </w:pPr>
          </w:p>
          <w:p w14:paraId="7F5F5AC3" w14:textId="77777777" w:rsidR="00EC210E" w:rsidRDefault="00EC210E">
            <w:pPr>
              <w:widowControl w:val="0"/>
              <w:autoSpaceDE w:val="0"/>
              <w:autoSpaceDN w:val="0"/>
              <w:adjustRightInd w:val="0"/>
              <w:rPr>
                <w:rFonts w:cs="Arial"/>
                <w:szCs w:val="24"/>
              </w:rPr>
            </w:pPr>
          </w:p>
          <w:p w14:paraId="0829DCCF" w14:textId="77777777" w:rsidR="00EC210E" w:rsidRDefault="00EC210E">
            <w:pPr>
              <w:widowControl w:val="0"/>
              <w:autoSpaceDE w:val="0"/>
              <w:autoSpaceDN w:val="0"/>
              <w:adjustRightInd w:val="0"/>
              <w:rPr>
                <w:rFonts w:cs="Arial"/>
                <w:szCs w:val="24"/>
              </w:rPr>
            </w:pPr>
          </w:p>
          <w:p w14:paraId="4908AF51" w14:textId="77777777" w:rsidR="00EC210E" w:rsidRDefault="00EC210E">
            <w:pPr>
              <w:widowControl w:val="0"/>
              <w:autoSpaceDE w:val="0"/>
              <w:autoSpaceDN w:val="0"/>
              <w:adjustRightInd w:val="0"/>
              <w:rPr>
                <w:rFonts w:cs="Arial"/>
                <w:szCs w:val="24"/>
              </w:rPr>
            </w:pPr>
          </w:p>
        </w:tc>
        <w:tc>
          <w:tcPr>
            <w:tcW w:w="3683" w:type="dxa"/>
            <w:tcBorders>
              <w:top w:val="single" w:sz="4" w:space="0" w:color="auto"/>
              <w:left w:val="single" w:sz="4" w:space="0" w:color="auto"/>
              <w:bottom w:val="single" w:sz="4" w:space="0" w:color="auto"/>
              <w:right w:val="single" w:sz="4" w:space="0" w:color="auto"/>
            </w:tcBorders>
          </w:tcPr>
          <w:p w14:paraId="00A02A09" w14:textId="77777777" w:rsidR="00A9796C" w:rsidRDefault="00A9796C">
            <w:pPr>
              <w:pStyle w:val="BodyTextIndent"/>
              <w:spacing w:after="0"/>
              <w:ind w:left="0"/>
              <w:rPr>
                <w:b w:val="0"/>
                <w:lang w:val="en-CA"/>
              </w:rPr>
            </w:pPr>
          </w:p>
          <w:p w14:paraId="6D3A8027" w14:textId="77777777" w:rsidR="00EC210E" w:rsidRDefault="00EC210E">
            <w:pPr>
              <w:pStyle w:val="BodyTextIndent"/>
              <w:spacing w:after="0"/>
              <w:ind w:left="0"/>
              <w:rPr>
                <w:b w:val="0"/>
                <w:lang w:val="en-CA"/>
              </w:rPr>
            </w:pPr>
            <w:r>
              <w:rPr>
                <w:b w:val="0"/>
                <w:lang w:val="en-CA"/>
              </w:rPr>
              <w:lastRenderedPageBreak/>
              <w:t xml:space="preserve">Chapter 6 and 13 in C. Etmanski et al. </w:t>
            </w:r>
          </w:p>
          <w:p w14:paraId="78534E2D" w14:textId="77777777" w:rsidR="00EC210E" w:rsidRDefault="00EC210E">
            <w:pPr>
              <w:pStyle w:val="BodyTextIndent"/>
              <w:spacing w:after="0"/>
              <w:ind w:left="0"/>
              <w:rPr>
                <w:b w:val="0"/>
                <w:lang w:val="en-CA"/>
              </w:rPr>
            </w:pPr>
          </w:p>
          <w:p w14:paraId="2EEB17D9" w14:textId="77777777" w:rsidR="00EC210E" w:rsidRDefault="00EC210E">
            <w:pPr>
              <w:pStyle w:val="BodyTextIndent"/>
              <w:spacing w:after="0"/>
              <w:ind w:left="0"/>
              <w:rPr>
                <w:b w:val="0"/>
                <w:lang w:val="en-CA"/>
              </w:rPr>
            </w:pPr>
            <w:r>
              <w:rPr>
                <w:b w:val="0"/>
                <w:lang w:val="en-CA"/>
              </w:rPr>
              <w:t xml:space="preserve">Flicker, S. and Nixon, S. (2015). The DEPICT Model for Participatory Qualitative Health Promotion Research Analysis piloted in Canada, Zambia and South Africa. </w:t>
            </w:r>
            <w:r>
              <w:rPr>
                <w:b w:val="0"/>
                <w:i/>
                <w:lang w:val="en-CA"/>
              </w:rPr>
              <w:t>Health Promotion International</w:t>
            </w:r>
            <w:r>
              <w:rPr>
                <w:b w:val="0"/>
                <w:lang w:val="en-CA"/>
              </w:rPr>
              <w:t>, 30(3): 616-24.</w:t>
            </w:r>
          </w:p>
          <w:p w14:paraId="0BFEB148" w14:textId="77777777" w:rsidR="00EC210E" w:rsidRDefault="00EC210E">
            <w:pPr>
              <w:pStyle w:val="BodyTextIndent"/>
              <w:spacing w:after="0"/>
              <w:ind w:left="0"/>
              <w:rPr>
                <w:b w:val="0"/>
                <w:lang w:val="en-CA"/>
              </w:rPr>
            </w:pPr>
          </w:p>
          <w:p w14:paraId="44E3DBA4" w14:textId="77777777" w:rsidR="00EC210E" w:rsidRDefault="00EC210E">
            <w:pPr>
              <w:pStyle w:val="BodyTextIndent"/>
              <w:spacing w:after="0"/>
              <w:ind w:left="0"/>
              <w:rPr>
                <w:b w:val="0"/>
                <w:lang w:val="en-CA"/>
              </w:rPr>
            </w:pPr>
            <w:r>
              <w:rPr>
                <w:b w:val="0"/>
                <w:lang w:val="en-CA"/>
              </w:rPr>
              <w:t xml:space="preserve">Jackson, S. (2008). A Participatory Group Process to Analyze Qualitative Data. </w:t>
            </w:r>
            <w:r>
              <w:rPr>
                <w:b w:val="0"/>
                <w:i/>
                <w:lang w:val="en-CA"/>
              </w:rPr>
              <w:t>Project Muse</w:t>
            </w:r>
            <w:r>
              <w:rPr>
                <w:b w:val="0"/>
                <w:lang w:val="en-CA"/>
              </w:rPr>
              <w:t>, 2(2): 160-170.</w:t>
            </w:r>
          </w:p>
          <w:p w14:paraId="746DFD2A" w14:textId="77777777" w:rsidR="00EC210E" w:rsidRDefault="00EC210E">
            <w:pPr>
              <w:widowControl w:val="0"/>
              <w:autoSpaceDE w:val="0"/>
              <w:autoSpaceDN w:val="0"/>
              <w:adjustRightInd w:val="0"/>
              <w:rPr>
                <w:rFonts w:cs="Arial"/>
                <w:szCs w:val="24"/>
              </w:rPr>
            </w:pPr>
          </w:p>
        </w:tc>
      </w:tr>
      <w:tr w:rsidR="00EC210E" w14:paraId="5C8DD1FB" w14:textId="77777777" w:rsidTr="00016C28">
        <w:tc>
          <w:tcPr>
            <w:tcW w:w="959" w:type="dxa"/>
            <w:tcBorders>
              <w:top w:val="single" w:sz="4" w:space="0" w:color="auto"/>
              <w:left w:val="single" w:sz="4" w:space="0" w:color="auto"/>
              <w:bottom w:val="single" w:sz="4" w:space="0" w:color="auto"/>
              <w:right w:val="single" w:sz="4" w:space="0" w:color="auto"/>
            </w:tcBorders>
            <w:hideMark/>
          </w:tcPr>
          <w:p w14:paraId="2D1FDECB" w14:textId="4CBB9665" w:rsidR="00EC210E" w:rsidRDefault="00A9796C">
            <w:pPr>
              <w:widowControl w:val="0"/>
              <w:autoSpaceDE w:val="0"/>
              <w:autoSpaceDN w:val="0"/>
              <w:adjustRightInd w:val="0"/>
              <w:jc w:val="center"/>
              <w:rPr>
                <w:rFonts w:cs="Arial"/>
                <w:b w:val="0"/>
                <w:szCs w:val="24"/>
              </w:rPr>
            </w:pPr>
            <w:r>
              <w:rPr>
                <w:rFonts w:cs="Arial"/>
                <w:b w:val="0"/>
                <w:szCs w:val="24"/>
              </w:rPr>
              <w:lastRenderedPageBreak/>
              <w:t>8</w:t>
            </w:r>
          </w:p>
        </w:tc>
        <w:tc>
          <w:tcPr>
            <w:tcW w:w="1134" w:type="dxa"/>
            <w:tcBorders>
              <w:top w:val="single" w:sz="4" w:space="0" w:color="auto"/>
              <w:left w:val="single" w:sz="4" w:space="0" w:color="auto"/>
              <w:bottom w:val="single" w:sz="4" w:space="0" w:color="auto"/>
              <w:right w:val="single" w:sz="4" w:space="0" w:color="auto"/>
            </w:tcBorders>
            <w:hideMark/>
          </w:tcPr>
          <w:p w14:paraId="3AB2E3B8" w14:textId="429526C2" w:rsidR="00EC210E" w:rsidRDefault="00EC210E">
            <w:pPr>
              <w:widowControl w:val="0"/>
              <w:autoSpaceDE w:val="0"/>
              <w:autoSpaceDN w:val="0"/>
              <w:adjustRightInd w:val="0"/>
              <w:rPr>
                <w:rFonts w:cs="Arial"/>
                <w:b w:val="0"/>
                <w:szCs w:val="24"/>
              </w:rPr>
            </w:pPr>
            <w:r>
              <w:rPr>
                <w:rFonts w:cs="Arial"/>
                <w:b w:val="0"/>
                <w:szCs w:val="24"/>
              </w:rPr>
              <w:t xml:space="preserve">Mar </w:t>
            </w:r>
            <w:r w:rsidR="00A9796C">
              <w:rPr>
                <w:rFonts w:cs="Arial"/>
                <w:b w:val="0"/>
                <w:szCs w:val="24"/>
              </w:rPr>
              <w:t>5</w:t>
            </w:r>
          </w:p>
        </w:tc>
        <w:tc>
          <w:tcPr>
            <w:tcW w:w="4109" w:type="dxa"/>
            <w:tcBorders>
              <w:top w:val="single" w:sz="4" w:space="0" w:color="auto"/>
              <w:left w:val="single" w:sz="4" w:space="0" w:color="auto"/>
              <w:bottom w:val="single" w:sz="4" w:space="0" w:color="auto"/>
              <w:right w:val="single" w:sz="4" w:space="0" w:color="auto"/>
            </w:tcBorders>
            <w:hideMark/>
          </w:tcPr>
          <w:p w14:paraId="7BD6D8BD" w14:textId="77777777" w:rsidR="00EC210E" w:rsidRDefault="00EC210E">
            <w:pPr>
              <w:widowControl w:val="0"/>
              <w:autoSpaceDE w:val="0"/>
              <w:autoSpaceDN w:val="0"/>
              <w:adjustRightInd w:val="0"/>
              <w:rPr>
                <w:b w:val="0"/>
              </w:rPr>
            </w:pPr>
            <w:r>
              <w:rPr>
                <w:b w:val="0"/>
              </w:rPr>
              <w:t>Participatory Arts-Based Approaches to Data Collection and Analysis</w:t>
            </w:r>
          </w:p>
          <w:p w14:paraId="7C45D520" w14:textId="77777777" w:rsidR="00EC210E" w:rsidRDefault="00EC210E">
            <w:pPr>
              <w:widowControl w:val="0"/>
              <w:autoSpaceDE w:val="0"/>
              <w:autoSpaceDN w:val="0"/>
              <w:adjustRightInd w:val="0"/>
              <w:rPr>
                <w:rFonts w:cs="Arial"/>
                <w:b w:val="0"/>
                <w:szCs w:val="24"/>
              </w:rPr>
            </w:pPr>
          </w:p>
        </w:tc>
        <w:tc>
          <w:tcPr>
            <w:tcW w:w="3683" w:type="dxa"/>
            <w:tcBorders>
              <w:top w:val="single" w:sz="4" w:space="0" w:color="auto"/>
              <w:left w:val="single" w:sz="4" w:space="0" w:color="auto"/>
              <w:bottom w:val="single" w:sz="4" w:space="0" w:color="auto"/>
              <w:right w:val="single" w:sz="4" w:space="0" w:color="auto"/>
            </w:tcBorders>
          </w:tcPr>
          <w:p w14:paraId="1E0E203E" w14:textId="77777777" w:rsidR="00EC210E" w:rsidRDefault="00EC210E">
            <w:pPr>
              <w:pStyle w:val="BodyTextIndent"/>
              <w:spacing w:after="0"/>
              <w:ind w:left="0"/>
              <w:rPr>
                <w:b w:val="0"/>
                <w:lang w:val="en-CA"/>
              </w:rPr>
            </w:pPr>
            <w:r>
              <w:rPr>
                <w:b w:val="0"/>
                <w:lang w:val="en-CA"/>
              </w:rPr>
              <w:t xml:space="preserve">Fudge Schormans, A. (2014). ‘Weightless’? Disrupting relations of power in/through </w:t>
            </w:r>
          </w:p>
          <w:p w14:paraId="1E07A592" w14:textId="77777777" w:rsidR="00EC210E" w:rsidRDefault="00EC210E">
            <w:pPr>
              <w:pStyle w:val="BodyTextIndent"/>
              <w:spacing w:after="0"/>
              <w:ind w:left="0"/>
              <w:rPr>
                <w:b w:val="0"/>
                <w:lang w:val="en-CA"/>
              </w:rPr>
            </w:pPr>
            <w:r>
              <w:rPr>
                <w:b w:val="0"/>
                <w:lang w:val="en-CA"/>
              </w:rPr>
              <w:t xml:space="preserve">photographic imagery of persons with intellectual disabilities. </w:t>
            </w:r>
            <w:r>
              <w:rPr>
                <w:b w:val="0"/>
                <w:i/>
                <w:lang w:val="en-CA"/>
              </w:rPr>
              <w:t>Disability and Society</w:t>
            </w:r>
            <w:r>
              <w:rPr>
                <w:b w:val="0"/>
                <w:lang w:val="en-CA"/>
              </w:rPr>
              <w:t>, 29(5): 699-713.</w:t>
            </w:r>
          </w:p>
          <w:p w14:paraId="26678392" w14:textId="77777777" w:rsidR="00EC210E" w:rsidRDefault="00EC210E">
            <w:pPr>
              <w:pStyle w:val="BodyTextIndent"/>
              <w:spacing w:after="0"/>
              <w:ind w:left="0"/>
              <w:rPr>
                <w:b w:val="0"/>
                <w:lang w:val="en-CA"/>
              </w:rPr>
            </w:pPr>
          </w:p>
          <w:p w14:paraId="6C2F2DFC" w14:textId="77777777" w:rsidR="00EC210E" w:rsidRDefault="00EC210E">
            <w:pPr>
              <w:pStyle w:val="BodyTextIndent"/>
              <w:spacing w:after="0"/>
              <w:ind w:left="0"/>
              <w:rPr>
                <w:b w:val="0"/>
                <w:lang w:val="en-CA"/>
              </w:rPr>
            </w:pPr>
            <w:r>
              <w:rPr>
                <w:rFonts w:eastAsiaTheme="minorHAnsi"/>
                <w:b w:val="0"/>
                <w:color w:val="221E1F"/>
                <w:lang w:val="en-CA"/>
              </w:rPr>
              <w:t xml:space="preserve">Gastaldo, D., Magalhães, L., Carrasco, C., and Davy, C. (2012). Body-Map Storytelling as Research: Methodological considerations for telling the stories of undocumented workers through body mapping. Retrieved from </w:t>
            </w:r>
            <w:r>
              <w:rPr>
                <w:rFonts w:eastAsiaTheme="minorHAnsi"/>
                <w:b w:val="0"/>
                <w:color w:val="004A89"/>
                <w:lang w:val="en-CA"/>
              </w:rPr>
              <w:t>http://www. migrationhealth.ca/undocumented-workers-ontario/body-mapping</w:t>
            </w:r>
          </w:p>
          <w:p w14:paraId="6904145B" w14:textId="77777777" w:rsidR="00EC210E" w:rsidRDefault="00EC210E">
            <w:pPr>
              <w:widowControl w:val="0"/>
              <w:autoSpaceDE w:val="0"/>
              <w:autoSpaceDN w:val="0"/>
              <w:adjustRightInd w:val="0"/>
              <w:rPr>
                <w:rFonts w:cs="Arial"/>
                <w:szCs w:val="24"/>
                <w:lang w:val="en-CA"/>
              </w:rPr>
            </w:pPr>
          </w:p>
        </w:tc>
      </w:tr>
      <w:tr w:rsidR="00EC210E" w:rsidRPr="00D26847" w14:paraId="5C93F8D4" w14:textId="77777777" w:rsidTr="00016C28">
        <w:tc>
          <w:tcPr>
            <w:tcW w:w="959" w:type="dxa"/>
            <w:tcBorders>
              <w:top w:val="single" w:sz="4" w:space="0" w:color="auto"/>
              <w:left w:val="single" w:sz="4" w:space="0" w:color="auto"/>
              <w:bottom w:val="single" w:sz="4" w:space="0" w:color="auto"/>
              <w:right w:val="single" w:sz="4" w:space="0" w:color="auto"/>
            </w:tcBorders>
            <w:hideMark/>
          </w:tcPr>
          <w:p w14:paraId="47BD6BBD" w14:textId="4DA83C7B" w:rsidR="00EC210E" w:rsidRDefault="00A9796C">
            <w:pPr>
              <w:widowControl w:val="0"/>
              <w:autoSpaceDE w:val="0"/>
              <w:autoSpaceDN w:val="0"/>
              <w:adjustRightInd w:val="0"/>
              <w:jc w:val="center"/>
              <w:rPr>
                <w:rFonts w:cs="Arial"/>
                <w:b w:val="0"/>
                <w:szCs w:val="24"/>
              </w:rPr>
            </w:pPr>
            <w:r>
              <w:rPr>
                <w:rFonts w:cs="Arial"/>
                <w:b w:val="0"/>
                <w:szCs w:val="24"/>
              </w:rPr>
              <w:t>9</w:t>
            </w:r>
          </w:p>
        </w:tc>
        <w:tc>
          <w:tcPr>
            <w:tcW w:w="1134" w:type="dxa"/>
            <w:tcBorders>
              <w:top w:val="single" w:sz="4" w:space="0" w:color="auto"/>
              <w:left w:val="single" w:sz="4" w:space="0" w:color="auto"/>
              <w:bottom w:val="single" w:sz="4" w:space="0" w:color="auto"/>
              <w:right w:val="single" w:sz="4" w:space="0" w:color="auto"/>
            </w:tcBorders>
          </w:tcPr>
          <w:p w14:paraId="48DB1E88" w14:textId="77777777" w:rsidR="00EC210E" w:rsidRDefault="00EC210E">
            <w:pPr>
              <w:widowControl w:val="0"/>
              <w:autoSpaceDE w:val="0"/>
              <w:autoSpaceDN w:val="0"/>
              <w:adjustRightInd w:val="0"/>
              <w:rPr>
                <w:rFonts w:cs="Arial"/>
                <w:b w:val="0"/>
                <w:szCs w:val="24"/>
              </w:rPr>
            </w:pPr>
          </w:p>
          <w:p w14:paraId="192F1E53" w14:textId="72BACD9E" w:rsidR="00EC210E" w:rsidRDefault="00A9796C">
            <w:pPr>
              <w:widowControl w:val="0"/>
              <w:autoSpaceDE w:val="0"/>
              <w:autoSpaceDN w:val="0"/>
              <w:adjustRightInd w:val="0"/>
              <w:rPr>
                <w:rFonts w:cs="Arial"/>
                <w:b w:val="0"/>
                <w:szCs w:val="24"/>
              </w:rPr>
            </w:pPr>
            <w:r>
              <w:rPr>
                <w:rFonts w:cs="Arial"/>
                <w:b w:val="0"/>
                <w:szCs w:val="24"/>
              </w:rPr>
              <w:t>Mar 12</w:t>
            </w:r>
          </w:p>
          <w:p w14:paraId="3FAB249A" w14:textId="77777777" w:rsidR="00EC210E" w:rsidRDefault="00EC210E">
            <w:pPr>
              <w:widowControl w:val="0"/>
              <w:autoSpaceDE w:val="0"/>
              <w:autoSpaceDN w:val="0"/>
              <w:adjustRightInd w:val="0"/>
              <w:rPr>
                <w:rFonts w:cs="Arial"/>
                <w:b w:val="0"/>
                <w:szCs w:val="24"/>
              </w:rPr>
            </w:pPr>
          </w:p>
          <w:p w14:paraId="23A8089B" w14:textId="77777777" w:rsidR="00EC210E" w:rsidRDefault="00EC210E">
            <w:pPr>
              <w:widowControl w:val="0"/>
              <w:autoSpaceDE w:val="0"/>
              <w:autoSpaceDN w:val="0"/>
              <w:adjustRightInd w:val="0"/>
              <w:rPr>
                <w:rFonts w:cs="Arial"/>
                <w:b w:val="0"/>
                <w:szCs w:val="24"/>
              </w:rPr>
            </w:pPr>
          </w:p>
        </w:tc>
        <w:tc>
          <w:tcPr>
            <w:tcW w:w="4109" w:type="dxa"/>
            <w:tcBorders>
              <w:top w:val="single" w:sz="4" w:space="0" w:color="auto"/>
              <w:left w:val="single" w:sz="4" w:space="0" w:color="auto"/>
              <w:bottom w:val="single" w:sz="4" w:space="0" w:color="auto"/>
              <w:right w:val="single" w:sz="4" w:space="0" w:color="auto"/>
            </w:tcBorders>
            <w:hideMark/>
          </w:tcPr>
          <w:p w14:paraId="296DDDEB" w14:textId="77777777" w:rsidR="00EC210E" w:rsidRDefault="00EC210E" w:rsidP="006232E1">
            <w:pPr>
              <w:jc w:val="both"/>
              <w:rPr>
                <w:b w:val="0"/>
              </w:rPr>
            </w:pPr>
            <w:r>
              <w:rPr>
                <w:b w:val="0"/>
              </w:rPr>
              <w:t>Participatory approaches to dissemination and knowledge transfer</w:t>
            </w:r>
          </w:p>
          <w:p w14:paraId="530DFCBD" w14:textId="76E73F9C" w:rsidR="006232E1" w:rsidRPr="006232E1" w:rsidRDefault="006232E1" w:rsidP="006232E1">
            <w:pPr>
              <w:jc w:val="both"/>
              <w:rPr>
                <w:b w:val="0"/>
              </w:rPr>
            </w:pPr>
            <w:r w:rsidRPr="006232E1">
              <w:t>Guest Presenter:</w:t>
            </w:r>
            <w:r>
              <w:rPr>
                <w:b w:val="0"/>
              </w:rPr>
              <w:t xml:space="preserve"> </w:t>
            </w:r>
            <w:r w:rsidRPr="00210E6C">
              <w:t>Elene Lam</w:t>
            </w:r>
          </w:p>
        </w:tc>
        <w:tc>
          <w:tcPr>
            <w:tcW w:w="3683" w:type="dxa"/>
            <w:tcBorders>
              <w:top w:val="single" w:sz="4" w:space="0" w:color="auto"/>
              <w:left w:val="single" w:sz="4" w:space="0" w:color="auto"/>
              <w:bottom w:val="single" w:sz="4" w:space="0" w:color="auto"/>
              <w:right w:val="single" w:sz="4" w:space="0" w:color="auto"/>
            </w:tcBorders>
          </w:tcPr>
          <w:p w14:paraId="5AA5CEFA" w14:textId="77777777" w:rsidR="00EC210E" w:rsidRDefault="00EC210E">
            <w:pPr>
              <w:rPr>
                <w:b w:val="0"/>
                <w:lang w:val="fr-CA"/>
              </w:rPr>
            </w:pPr>
            <w:r>
              <w:rPr>
                <w:b w:val="0"/>
              </w:rPr>
              <w:t xml:space="preserve">Demange, E., Henry, E., Préau, M. (2012). From collaborative research to community-based research. </w:t>
            </w:r>
            <w:r>
              <w:rPr>
                <w:b w:val="0"/>
                <w:lang w:val="fr-CA"/>
              </w:rPr>
              <w:t xml:space="preserve">A methodological toolkit. Paris. ANRS/Coalition PLUS. Coll. Sciences sociale et sida.  SECTION 17. </w:t>
            </w:r>
          </w:p>
          <w:p w14:paraId="26023FC3" w14:textId="77777777" w:rsidR="00EC210E" w:rsidRDefault="00EC210E">
            <w:pPr>
              <w:rPr>
                <w:lang w:val="fr-CA"/>
              </w:rPr>
            </w:pPr>
          </w:p>
          <w:p w14:paraId="3F54E7BE" w14:textId="77777777" w:rsidR="00EC210E" w:rsidRDefault="00A324BD">
            <w:pPr>
              <w:rPr>
                <w:lang w:val="fr-CA"/>
              </w:rPr>
            </w:pPr>
            <w:hyperlink r:id="rId12" w:history="1">
              <w:r w:rsidR="00EC210E">
                <w:rPr>
                  <w:rStyle w:val="Hyperlink"/>
                  <w:rFonts w:eastAsia="MS Gothic"/>
                  <w:lang w:val="fr-CA"/>
                </w:rPr>
                <w:t>http://www.coalitionplus.org/</w:t>
              </w:r>
              <w:r w:rsidR="00EC210E">
                <w:rPr>
                  <w:rStyle w:val="Hyperlink"/>
                  <w:rFonts w:eastAsia="MS Gothic"/>
                  <w:lang w:val="fr-CA"/>
                </w:rPr>
                <w:lastRenderedPageBreak/>
                <w:t>wordpress/wp-content/uploads/2012/07/GUIDEgb.pdf</w:t>
              </w:r>
            </w:hyperlink>
            <w:r w:rsidR="00EC210E">
              <w:rPr>
                <w:lang w:val="fr-CA"/>
              </w:rPr>
              <w:t xml:space="preserve">  </w:t>
            </w:r>
          </w:p>
          <w:p w14:paraId="374B3DF0" w14:textId="77777777" w:rsidR="00EC210E" w:rsidRDefault="00EC210E">
            <w:pPr>
              <w:widowControl w:val="0"/>
              <w:autoSpaceDE w:val="0"/>
              <w:autoSpaceDN w:val="0"/>
              <w:adjustRightInd w:val="0"/>
              <w:rPr>
                <w:rFonts w:cs="Arial"/>
                <w:szCs w:val="24"/>
                <w:lang w:val="fr-CA"/>
              </w:rPr>
            </w:pPr>
          </w:p>
        </w:tc>
      </w:tr>
      <w:tr w:rsidR="00EC210E" w14:paraId="4496A7E7" w14:textId="77777777" w:rsidTr="00016C28">
        <w:tc>
          <w:tcPr>
            <w:tcW w:w="959" w:type="dxa"/>
            <w:tcBorders>
              <w:top w:val="single" w:sz="4" w:space="0" w:color="auto"/>
              <w:left w:val="single" w:sz="4" w:space="0" w:color="auto"/>
              <w:bottom w:val="single" w:sz="4" w:space="0" w:color="auto"/>
              <w:right w:val="single" w:sz="4" w:space="0" w:color="auto"/>
            </w:tcBorders>
            <w:hideMark/>
          </w:tcPr>
          <w:p w14:paraId="33BDB249" w14:textId="0BC4E807" w:rsidR="00EC210E" w:rsidRDefault="00EC210E">
            <w:pPr>
              <w:widowControl w:val="0"/>
              <w:autoSpaceDE w:val="0"/>
              <w:autoSpaceDN w:val="0"/>
              <w:adjustRightInd w:val="0"/>
              <w:jc w:val="center"/>
              <w:rPr>
                <w:rFonts w:cs="Arial"/>
                <w:b w:val="0"/>
                <w:szCs w:val="24"/>
              </w:rPr>
            </w:pPr>
            <w:r>
              <w:rPr>
                <w:rFonts w:cs="Arial"/>
                <w:b w:val="0"/>
                <w:szCs w:val="24"/>
              </w:rPr>
              <w:lastRenderedPageBreak/>
              <w:t>1</w:t>
            </w:r>
            <w:r w:rsidR="00A9796C">
              <w:rPr>
                <w:rFonts w:cs="Arial"/>
                <w:b w:val="0"/>
                <w:szCs w:val="24"/>
              </w:rPr>
              <w:t>0</w:t>
            </w:r>
          </w:p>
        </w:tc>
        <w:tc>
          <w:tcPr>
            <w:tcW w:w="1134" w:type="dxa"/>
            <w:tcBorders>
              <w:top w:val="single" w:sz="4" w:space="0" w:color="auto"/>
              <w:left w:val="single" w:sz="4" w:space="0" w:color="auto"/>
              <w:bottom w:val="single" w:sz="4" w:space="0" w:color="auto"/>
              <w:right w:val="single" w:sz="4" w:space="0" w:color="auto"/>
            </w:tcBorders>
          </w:tcPr>
          <w:p w14:paraId="7366927D" w14:textId="7E978C7C" w:rsidR="00EC210E" w:rsidRDefault="00A9796C">
            <w:pPr>
              <w:widowControl w:val="0"/>
              <w:autoSpaceDE w:val="0"/>
              <w:autoSpaceDN w:val="0"/>
              <w:adjustRightInd w:val="0"/>
              <w:rPr>
                <w:rFonts w:cs="Arial"/>
                <w:b w:val="0"/>
                <w:szCs w:val="24"/>
              </w:rPr>
            </w:pPr>
            <w:r>
              <w:rPr>
                <w:rFonts w:cs="Arial"/>
                <w:b w:val="0"/>
                <w:szCs w:val="24"/>
              </w:rPr>
              <w:t>Mar 19</w:t>
            </w:r>
          </w:p>
          <w:p w14:paraId="410EC982" w14:textId="77777777" w:rsidR="00EC210E" w:rsidRDefault="00EC210E">
            <w:pPr>
              <w:widowControl w:val="0"/>
              <w:autoSpaceDE w:val="0"/>
              <w:autoSpaceDN w:val="0"/>
              <w:adjustRightInd w:val="0"/>
              <w:rPr>
                <w:rFonts w:cs="Arial"/>
                <w:b w:val="0"/>
                <w:szCs w:val="24"/>
              </w:rPr>
            </w:pPr>
          </w:p>
        </w:tc>
        <w:tc>
          <w:tcPr>
            <w:tcW w:w="4109" w:type="dxa"/>
            <w:tcBorders>
              <w:top w:val="single" w:sz="4" w:space="0" w:color="auto"/>
              <w:left w:val="single" w:sz="4" w:space="0" w:color="auto"/>
              <w:bottom w:val="single" w:sz="4" w:space="0" w:color="auto"/>
              <w:right w:val="single" w:sz="4" w:space="0" w:color="auto"/>
            </w:tcBorders>
            <w:hideMark/>
          </w:tcPr>
          <w:p w14:paraId="39C60054" w14:textId="7DA744A1" w:rsidR="00EC210E" w:rsidRPr="00A9796C" w:rsidRDefault="00EC210E" w:rsidP="00A9796C">
            <w:pPr>
              <w:widowControl w:val="0"/>
              <w:autoSpaceDE w:val="0"/>
              <w:autoSpaceDN w:val="0"/>
              <w:adjustRightInd w:val="0"/>
              <w:rPr>
                <w:b w:val="0"/>
              </w:rPr>
            </w:pPr>
            <w:r>
              <w:rPr>
                <w:b w:val="0"/>
              </w:rPr>
              <w:t>Ethics and CBR</w:t>
            </w:r>
          </w:p>
        </w:tc>
        <w:tc>
          <w:tcPr>
            <w:tcW w:w="3683" w:type="dxa"/>
            <w:tcBorders>
              <w:top w:val="single" w:sz="4" w:space="0" w:color="auto"/>
              <w:left w:val="single" w:sz="4" w:space="0" w:color="auto"/>
              <w:bottom w:val="single" w:sz="4" w:space="0" w:color="auto"/>
              <w:right w:val="single" w:sz="4" w:space="0" w:color="auto"/>
            </w:tcBorders>
          </w:tcPr>
          <w:p w14:paraId="7C07743F" w14:textId="77777777" w:rsidR="00EC210E" w:rsidRDefault="00A324BD">
            <w:pPr>
              <w:pStyle w:val="BodyTextIndent"/>
              <w:spacing w:after="0"/>
              <w:ind w:left="0"/>
              <w:rPr>
                <w:b w:val="0"/>
              </w:rPr>
            </w:pPr>
            <w:hyperlink r:id="rId13" w:history="1">
              <w:r w:rsidR="00EC210E">
                <w:rPr>
                  <w:rStyle w:val="Hyperlink"/>
                  <w:rFonts w:eastAsia="MS Gothic"/>
                </w:rPr>
                <w:t>https://www.publicengagement.ac.uk/sites/default/files/publication/cbpr_ethics_guide_web_november_2012.pdf</w:t>
              </w:r>
            </w:hyperlink>
          </w:p>
          <w:p w14:paraId="45039E01" w14:textId="77777777" w:rsidR="00EC210E" w:rsidRDefault="00EC210E">
            <w:pPr>
              <w:pStyle w:val="BodyTextIndent"/>
              <w:spacing w:after="0"/>
              <w:ind w:left="0"/>
              <w:rPr>
                <w:b w:val="0"/>
              </w:rPr>
            </w:pPr>
          </w:p>
          <w:p w14:paraId="36D175CA" w14:textId="77777777" w:rsidR="00EC210E" w:rsidRDefault="00EC210E">
            <w:pPr>
              <w:autoSpaceDE w:val="0"/>
              <w:autoSpaceDN w:val="0"/>
              <w:adjustRightInd w:val="0"/>
              <w:rPr>
                <w:b w:val="0"/>
                <w:lang w:val="en-CA" w:eastAsia="en-CA"/>
              </w:rPr>
            </w:pPr>
            <w:r>
              <w:rPr>
                <w:b w:val="0"/>
                <w:lang w:val="en-CA" w:eastAsia="en-CA"/>
              </w:rPr>
              <w:t xml:space="preserve">Guta, A., Wilson, M., Flicker, S. Travers, R. Mason, C., Wenyeve, G., &amp; O’Campo, P. </w:t>
            </w:r>
          </w:p>
          <w:p w14:paraId="1CA08FAA" w14:textId="77777777" w:rsidR="00EC210E" w:rsidRDefault="00EC210E">
            <w:pPr>
              <w:autoSpaceDE w:val="0"/>
              <w:autoSpaceDN w:val="0"/>
              <w:adjustRightInd w:val="0"/>
              <w:rPr>
                <w:b w:val="0"/>
                <w:lang w:val="en-CA" w:eastAsia="en-CA"/>
              </w:rPr>
            </w:pPr>
            <w:r>
              <w:rPr>
                <w:b w:val="0"/>
                <w:lang w:val="en-CA" w:eastAsia="en-CA"/>
              </w:rPr>
              <w:t xml:space="preserve"> (2010). Are we Asking the Right Questions? A review of Canadian REB Practices in </w:t>
            </w:r>
          </w:p>
          <w:p w14:paraId="56B438F5" w14:textId="77777777" w:rsidR="00EC210E" w:rsidRDefault="00EC210E">
            <w:pPr>
              <w:autoSpaceDE w:val="0"/>
              <w:autoSpaceDN w:val="0"/>
              <w:adjustRightInd w:val="0"/>
              <w:rPr>
                <w:b w:val="0"/>
                <w:i/>
                <w:lang w:val="en-CA" w:eastAsia="en-CA"/>
              </w:rPr>
            </w:pPr>
            <w:r>
              <w:rPr>
                <w:b w:val="0"/>
                <w:lang w:val="en-CA" w:eastAsia="en-CA"/>
              </w:rPr>
              <w:t xml:space="preserve">Relation to Community-Based Participatory Research, </w:t>
            </w:r>
            <w:r>
              <w:rPr>
                <w:b w:val="0"/>
                <w:i/>
                <w:lang w:val="en-CA" w:eastAsia="en-CA"/>
              </w:rPr>
              <w:t>Journal of Empirical Research on Human Research Ethics</w:t>
            </w:r>
            <w:r>
              <w:rPr>
                <w:rFonts w:ascii="Code2000" w:hAnsi="Code2000" w:cs="Code2000" w:hint="eastAsia"/>
                <w:b w:val="0"/>
                <w:sz w:val="22"/>
                <w:szCs w:val="22"/>
                <w:lang w:val="en-CA" w:eastAsia="en-CA"/>
              </w:rPr>
              <w:t xml:space="preserve">, </w:t>
            </w:r>
            <w:r>
              <w:rPr>
                <w:b w:val="0"/>
                <w:lang w:val="en-CA" w:eastAsia="en-CA"/>
              </w:rPr>
              <w:t>5(2), 35-46.</w:t>
            </w:r>
          </w:p>
          <w:p w14:paraId="5AFA04CA" w14:textId="77777777" w:rsidR="00EC210E" w:rsidRDefault="00EC210E">
            <w:pPr>
              <w:ind w:left="-18" w:firstLine="18"/>
              <w:rPr>
                <w:rFonts w:cs="Arial"/>
                <w:b w:val="0"/>
                <w:szCs w:val="24"/>
                <w:u w:val="single"/>
              </w:rPr>
            </w:pPr>
          </w:p>
        </w:tc>
      </w:tr>
      <w:tr w:rsidR="00EC210E" w14:paraId="6D5FF447" w14:textId="77777777" w:rsidTr="00016C28">
        <w:tc>
          <w:tcPr>
            <w:tcW w:w="959" w:type="dxa"/>
            <w:tcBorders>
              <w:top w:val="single" w:sz="4" w:space="0" w:color="auto"/>
              <w:left w:val="single" w:sz="4" w:space="0" w:color="auto"/>
              <w:bottom w:val="single" w:sz="4" w:space="0" w:color="auto"/>
              <w:right w:val="single" w:sz="4" w:space="0" w:color="auto"/>
            </w:tcBorders>
            <w:hideMark/>
          </w:tcPr>
          <w:p w14:paraId="62B41FAF" w14:textId="2EBEF5DE" w:rsidR="00EC210E" w:rsidRDefault="00EC210E">
            <w:pPr>
              <w:widowControl w:val="0"/>
              <w:autoSpaceDE w:val="0"/>
              <w:autoSpaceDN w:val="0"/>
              <w:adjustRightInd w:val="0"/>
              <w:jc w:val="center"/>
              <w:rPr>
                <w:rFonts w:cs="Arial"/>
                <w:b w:val="0"/>
                <w:szCs w:val="24"/>
              </w:rPr>
            </w:pPr>
            <w:r>
              <w:rPr>
                <w:rFonts w:cs="Arial"/>
                <w:b w:val="0"/>
                <w:szCs w:val="24"/>
              </w:rPr>
              <w:t>1</w:t>
            </w:r>
            <w:r w:rsidR="00A9796C">
              <w:rPr>
                <w:rFonts w:cs="Arial"/>
                <w:b w:val="0"/>
                <w:szCs w:val="24"/>
              </w:rPr>
              <w:t>1</w:t>
            </w:r>
          </w:p>
        </w:tc>
        <w:tc>
          <w:tcPr>
            <w:tcW w:w="1134" w:type="dxa"/>
            <w:tcBorders>
              <w:top w:val="single" w:sz="4" w:space="0" w:color="auto"/>
              <w:left w:val="single" w:sz="4" w:space="0" w:color="auto"/>
              <w:bottom w:val="single" w:sz="4" w:space="0" w:color="auto"/>
              <w:right w:val="single" w:sz="4" w:space="0" w:color="auto"/>
            </w:tcBorders>
          </w:tcPr>
          <w:p w14:paraId="62641BAD" w14:textId="4D071160" w:rsidR="00EC210E" w:rsidRDefault="00D26847">
            <w:pPr>
              <w:widowControl w:val="0"/>
              <w:autoSpaceDE w:val="0"/>
              <w:autoSpaceDN w:val="0"/>
              <w:adjustRightInd w:val="0"/>
              <w:rPr>
                <w:rFonts w:cs="Arial"/>
                <w:b w:val="0"/>
                <w:szCs w:val="24"/>
              </w:rPr>
            </w:pPr>
            <w:r>
              <w:rPr>
                <w:rFonts w:cs="Arial"/>
                <w:b w:val="0"/>
                <w:szCs w:val="24"/>
              </w:rPr>
              <w:t>Mar 2</w:t>
            </w:r>
            <w:r w:rsidR="00A9796C">
              <w:rPr>
                <w:rFonts w:cs="Arial"/>
                <w:b w:val="0"/>
                <w:szCs w:val="24"/>
              </w:rPr>
              <w:t>6</w:t>
            </w:r>
          </w:p>
        </w:tc>
        <w:tc>
          <w:tcPr>
            <w:tcW w:w="4109" w:type="dxa"/>
            <w:tcBorders>
              <w:top w:val="single" w:sz="4" w:space="0" w:color="auto"/>
              <w:left w:val="single" w:sz="4" w:space="0" w:color="auto"/>
              <w:bottom w:val="single" w:sz="4" w:space="0" w:color="auto"/>
              <w:right w:val="single" w:sz="4" w:space="0" w:color="auto"/>
            </w:tcBorders>
            <w:hideMark/>
          </w:tcPr>
          <w:p w14:paraId="3586A114" w14:textId="77777777" w:rsidR="00EC210E" w:rsidRDefault="008A087F" w:rsidP="008A087F">
            <w:pPr>
              <w:rPr>
                <w:rFonts w:cs="Arial"/>
                <w:b w:val="0"/>
                <w:szCs w:val="24"/>
              </w:rPr>
            </w:pPr>
            <w:r>
              <w:rPr>
                <w:b w:val="0"/>
              </w:rPr>
              <w:t xml:space="preserve">Beyond the REB: Ethics in the moment when </w:t>
            </w:r>
            <w:r w:rsidR="00EC210E">
              <w:rPr>
                <w:b w:val="0"/>
              </w:rPr>
              <w:t>doing CBR</w:t>
            </w:r>
          </w:p>
        </w:tc>
        <w:tc>
          <w:tcPr>
            <w:tcW w:w="3683" w:type="dxa"/>
            <w:tcBorders>
              <w:top w:val="single" w:sz="4" w:space="0" w:color="auto"/>
              <w:left w:val="single" w:sz="4" w:space="0" w:color="auto"/>
              <w:bottom w:val="single" w:sz="4" w:space="0" w:color="auto"/>
              <w:right w:val="single" w:sz="4" w:space="0" w:color="auto"/>
            </w:tcBorders>
          </w:tcPr>
          <w:p w14:paraId="08DE3EF5" w14:textId="77777777" w:rsidR="00EC210E" w:rsidRDefault="00EC210E">
            <w:pPr>
              <w:pStyle w:val="BodyTextIndent"/>
              <w:spacing w:after="0"/>
              <w:ind w:left="0"/>
              <w:rPr>
                <w:b w:val="0"/>
                <w:lang w:val="en-CA"/>
              </w:rPr>
            </w:pPr>
            <w:r>
              <w:rPr>
                <w:b w:val="0"/>
                <w:lang w:val="en-CA"/>
              </w:rPr>
              <w:t xml:space="preserve">Maiter, S., Simich, L, Jacobson, N, and Wise, N. (2008). Reciprocity: an ethic for community-based participatory </w:t>
            </w:r>
            <w:r>
              <w:rPr>
                <w:b w:val="0"/>
                <w:i/>
                <w:lang w:val="en-CA"/>
              </w:rPr>
              <w:t xml:space="preserve">Action Research, </w:t>
            </w:r>
            <w:r>
              <w:rPr>
                <w:b w:val="0"/>
                <w:lang w:val="en-CA"/>
              </w:rPr>
              <w:t>6(3), 305-325.</w:t>
            </w:r>
          </w:p>
          <w:p w14:paraId="5121E371" w14:textId="77777777" w:rsidR="00EC210E" w:rsidRDefault="00EC210E">
            <w:pPr>
              <w:pStyle w:val="BodyTextIndent"/>
              <w:spacing w:after="0"/>
              <w:ind w:left="0"/>
              <w:rPr>
                <w:b w:val="0"/>
                <w:lang w:val="en-CA"/>
              </w:rPr>
            </w:pPr>
          </w:p>
          <w:p w14:paraId="1C1F46DC" w14:textId="77777777" w:rsidR="00EC210E" w:rsidRDefault="00EC210E">
            <w:pPr>
              <w:pStyle w:val="BodyTextIndent"/>
              <w:spacing w:after="0"/>
              <w:ind w:left="0"/>
              <w:rPr>
                <w:b w:val="0"/>
              </w:rPr>
            </w:pPr>
            <w:r>
              <w:rPr>
                <w:b w:val="0"/>
              </w:rPr>
              <w:t xml:space="preserve">Banks, S., Armstrong, A., Carter, K., Graham, H., Hayward, P., Henry, A., Holland, T., Holmes, C., Lee, A., McNulty, A., Moore, N., Nayling, N., Stokoe, A. and Strachan, A. (2013). Everyday ethics in community-based participatory research. </w:t>
            </w:r>
            <w:r>
              <w:rPr>
                <w:b w:val="0"/>
                <w:i/>
              </w:rPr>
              <w:t>Contemporary Social Science</w:t>
            </w:r>
            <w:r>
              <w:rPr>
                <w:b w:val="0"/>
              </w:rPr>
              <w:t>, 8(3), 263-277.</w:t>
            </w:r>
          </w:p>
          <w:p w14:paraId="76EE3378" w14:textId="77777777" w:rsidR="00EC210E" w:rsidRDefault="00EC210E">
            <w:pPr>
              <w:pStyle w:val="BodyTextIndent"/>
              <w:spacing w:after="0"/>
              <w:ind w:left="0"/>
              <w:rPr>
                <w:b w:val="0"/>
              </w:rPr>
            </w:pPr>
          </w:p>
          <w:p w14:paraId="5F8030E5" w14:textId="77777777" w:rsidR="00EC210E" w:rsidRDefault="00EC210E">
            <w:pPr>
              <w:jc w:val="both"/>
              <w:rPr>
                <w:b w:val="0"/>
              </w:rPr>
            </w:pPr>
            <w:r>
              <w:rPr>
                <w:b w:val="0"/>
              </w:rPr>
              <w:t xml:space="preserve">Coons, K.D. and Watson, S.L. (2013). Conducting research with individuals who intellectual disabilities: Ethical and Practical Implications for Qualitative Research. Journal on Developmental Disabilities, </w:t>
            </w:r>
            <w:r>
              <w:rPr>
                <w:b w:val="0"/>
              </w:rPr>
              <w:lastRenderedPageBreak/>
              <w:t>19(2), 14-24.</w:t>
            </w:r>
          </w:p>
          <w:p w14:paraId="53E0AD2A" w14:textId="77777777" w:rsidR="00EC210E" w:rsidRDefault="00EC210E">
            <w:pPr>
              <w:jc w:val="both"/>
              <w:rPr>
                <w:rFonts w:cs="Arial"/>
                <w:b w:val="0"/>
                <w:szCs w:val="24"/>
                <w:u w:val="single"/>
              </w:rPr>
            </w:pPr>
          </w:p>
        </w:tc>
      </w:tr>
      <w:tr w:rsidR="00EC210E" w14:paraId="1E229816" w14:textId="77777777" w:rsidTr="00016C28">
        <w:tc>
          <w:tcPr>
            <w:tcW w:w="959" w:type="dxa"/>
            <w:tcBorders>
              <w:top w:val="single" w:sz="4" w:space="0" w:color="auto"/>
              <w:left w:val="single" w:sz="4" w:space="0" w:color="auto"/>
              <w:bottom w:val="single" w:sz="4" w:space="0" w:color="auto"/>
              <w:right w:val="single" w:sz="4" w:space="0" w:color="auto"/>
            </w:tcBorders>
            <w:hideMark/>
          </w:tcPr>
          <w:p w14:paraId="152B47B3" w14:textId="606A5F03" w:rsidR="00EC210E" w:rsidRDefault="00EC210E">
            <w:pPr>
              <w:widowControl w:val="0"/>
              <w:autoSpaceDE w:val="0"/>
              <w:autoSpaceDN w:val="0"/>
              <w:adjustRightInd w:val="0"/>
              <w:jc w:val="center"/>
              <w:rPr>
                <w:rFonts w:cs="Arial"/>
                <w:b w:val="0"/>
                <w:szCs w:val="24"/>
              </w:rPr>
            </w:pPr>
            <w:r>
              <w:rPr>
                <w:rFonts w:cs="Arial"/>
                <w:b w:val="0"/>
                <w:szCs w:val="24"/>
              </w:rPr>
              <w:lastRenderedPageBreak/>
              <w:t>1</w:t>
            </w:r>
            <w:r w:rsidR="00A9796C">
              <w:rPr>
                <w:rFonts w:cs="Arial"/>
                <w:b w:val="0"/>
                <w:szCs w:val="24"/>
              </w:rPr>
              <w:t>2</w:t>
            </w:r>
          </w:p>
        </w:tc>
        <w:tc>
          <w:tcPr>
            <w:tcW w:w="1134" w:type="dxa"/>
            <w:tcBorders>
              <w:top w:val="single" w:sz="4" w:space="0" w:color="auto"/>
              <w:left w:val="single" w:sz="4" w:space="0" w:color="auto"/>
              <w:bottom w:val="single" w:sz="4" w:space="0" w:color="auto"/>
              <w:right w:val="single" w:sz="4" w:space="0" w:color="auto"/>
            </w:tcBorders>
          </w:tcPr>
          <w:p w14:paraId="62218F65" w14:textId="081F4AAB" w:rsidR="00EC210E" w:rsidRDefault="00EC210E">
            <w:pPr>
              <w:widowControl w:val="0"/>
              <w:autoSpaceDE w:val="0"/>
              <w:autoSpaceDN w:val="0"/>
              <w:adjustRightInd w:val="0"/>
              <w:rPr>
                <w:rFonts w:cs="Arial"/>
                <w:b w:val="0"/>
                <w:szCs w:val="24"/>
              </w:rPr>
            </w:pPr>
            <w:r>
              <w:rPr>
                <w:rFonts w:cs="Arial"/>
                <w:b w:val="0"/>
                <w:szCs w:val="24"/>
              </w:rPr>
              <w:t xml:space="preserve">Apr </w:t>
            </w:r>
            <w:r w:rsidR="00A9796C">
              <w:rPr>
                <w:rFonts w:cs="Arial"/>
                <w:b w:val="0"/>
                <w:szCs w:val="24"/>
              </w:rPr>
              <w:t>2</w:t>
            </w:r>
          </w:p>
        </w:tc>
        <w:tc>
          <w:tcPr>
            <w:tcW w:w="4109" w:type="dxa"/>
            <w:tcBorders>
              <w:top w:val="single" w:sz="4" w:space="0" w:color="auto"/>
              <w:left w:val="single" w:sz="4" w:space="0" w:color="auto"/>
              <w:bottom w:val="single" w:sz="4" w:space="0" w:color="auto"/>
              <w:right w:val="single" w:sz="4" w:space="0" w:color="auto"/>
            </w:tcBorders>
          </w:tcPr>
          <w:p w14:paraId="3C8704A9" w14:textId="77777777" w:rsidR="00EC210E" w:rsidRDefault="00EC210E">
            <w:pPr>
              <w:rPr>
                <w:rFonts w:eastAsiaTheme="minorHAnsi"/>
                <w:b w:val="0"/>
                <w:color w:val="000000"/>
                <w:lang w:val="en-CA"/>
              </w:rPr>
            </w:pPr>
            <w:r>
              <w:rPr>
                <w:rFonts w:eastAsiaTheme="minorHAnsi"/>
                <w:b w:val="0"/>
                <w:color w:val="000000"/>
                <w:lang w:val="en-CA"/>
              </w:rPr>
              <w:t>Representations of ourselves and ‘Communit(ies)’ in CBR</w:t>
            </w:r>
          </w:p>
          <w:p w14:paraId="5C0917D0" w14:textId="7C016927" w:rsidR="00E55D11" w:rsidRDefault="006232E1">
            <w:pPr>
              <w:rPr>
                <w:rFonts w:eastAsiaTheme="minorHAnsi"/>
                <w:b w:val="0"/>
                <w:color w:val="000000"/>
                <w:lang w:val="en-CA"/>
              </w:rPr>
            </w:pPr>
            <w:r w:rsidRPr="006232E1">
              <w:rPr>
                <w:rFonts w:eastAsiaTheme="minorHAnsi"/>
                <w:color w:val="000000"/>
                <w:lang w:val="en-CA"/>
              </w:rPr>
              <w:t>Guest Presenter:</w:t>
            </w:r>
            <w:r>
              <w:rPr>
                <w:rFonts w:eastAsiaTheme="minorHAnsi"/>
                <w:b w:val="0"/>
                <w:color w:val="000000"/>
                <w:lang w:val="en-CA"/>
              </w:rPr>
              <w:t xml:space="preserve"> </w:t>
            </w:r>
            <w:r w:rsidRPr="00210E6C">
              <w:rPr>
                <w:rFonts w:eastAsiaTheme="minorHAnsi"/>
                <w:color w:val="000000"/>
                <w:lang w:val="en-CA"/>
              </w:rPr>
              <w:t>Daina Stanley</w:t>
            </w:r>
            <w:r>
              <w:rPr>
                <w:rFonts w:eastAsiaTheme="minorHAnsi"/>
                <w:b w:val="0"/>
                <w:color w:val="000000"/>
                <w:lang w:val="en-CA"/>
              </w:rPr>
              <w:t xml:space="preserve"> </w:t>
            </w:r>
          </w:p>
          <w:p w14:paraId="6DFC03A6" w14:textId="77777777" w:rsidR="00387C97" w:rsidRDefault="00387C97">
            <w:pPr>
              <w:rPr>
                <w:rFonts w:eastAsiaTheme="minorHAnsi"/>
                <w:b w:val="0"/>
                <w:color w:val="000000"/>
                <w:lang w:val="en-CA"/>
              </w:rPr>
            </w:pPr>
          </w:p>
          <w:p w14:paraId="22CAA19C" w14:textId="77777777" w:rsidR="00EC210E" w:rsidRDefault="00EC210E">
            <w:pPr>
              <w:widowControl w:val="0"/>
              <w:autoSpaceDE w:val="0"/>
              <w:autoSpaceDN w:val="0"/>
              <w:adjustRightInd w:val="0"/>
              <w:rPr>
                <w:rFonts w:cs="Arial"/>
                <w:b w:val="0"/>
                <w:szCs w:val="24"/>
                <w:lang w:val="en-CA"/>
              </w:rPr>
            </w:pPr>
          </w:p>
        </w:tc>
        <w:tc>
          <w:tcPr>
            <w:tcW w:w="3683" w:type="dxa"/>
            <w:tcBorders>
              <w:top w:val="single" w:sz="4" w:space="0" w:color="auto"/>
              <w:left w:val="single" w:sz="4" w:space="0" w:color="auto"/>
              <w:bottom w:val="single" w:sz="4" w:space="0" w:color="auto"/>
              <w:right w:val="single" w:sz="4" w:space="0" w:color="auto"/>
            </w:tcBorders>
          </w:tcPr>
          <w:p w14:paraId="52A6ABD2" w14:textId="77777777" w:rsidR="00EC210E" w:rsidRDefault="00EC210E">
            <w:pPr>
              <w:rPr>
                <w:b w:val="0"/>
                <w:bCs/>
                <w:lang w:val="fr-CA"/>
              </w:rPr>
            </w:pPr>
            <w:r>
              <w:rPr>
                <w:b w:val="0"/>
                <w:lang w:val="fr-CA"/>
              </w:rPr>
              <w:t xml:space="preserve">Chapter 7 in </w:t>
            </w:r>
            <w:r>
              <w:rPr>
                <w:b w:val="0"/>
                <w:bCs/>
                <w:lang w:val="fr-CA"/>
              </w:rPr>
              <w:t xml:space="preserve">C. Etmanski et al. </w:t>
            </w:r>
          </w:p>
          <w:p w14:paraId="5F1A826F" w14:textId="77777777" w:rsidR="00EC210E" w:rsidRDefault="00EC210E">
            <w:pPr>
              <w:spacing w:before="100" w:beforeAutospacing="1" w:after="100" w:afterAutospacing="1"/>
              <w:rPr>
                <w:b w:val="0"/>
                <w:color w:val="000000"/>
              </w:rPr>
            </w:pPr>
            <w:r>
              <w:rPr>
                <w:b w:val="0"/>
                <w:color w:val="000000"/>
              </w:rPr>
              <w:t xml:space="preserve">Sinding, C., Barnoff, L., Grassau, P., Odette, F., &amp; McGillicuddy, P. (2009). The stories we tell: Processes and politics of research representation. In J. Gould, J. Nelson &amp; S. Keller-Olaman (Eds.), </w:t>
            </w:r>
            <w:r>
              <w:rPr>
                <w:b w:val="0"/>
                <w:i/>
                <w:iCs/>
                <w:color w:val="000000"/>
              </w:rPr>
              <w:t>Cancer on the Margins: Method and Meaning in Participatory Research</w:t>
            </w:r>
            <w:r>
              <w:rPr>
                <w:b w:val="0"/>
                <w:color w:val="000000"/>
              </w:rPr>
              <w:t>. Toronto: University of Toronto Press.</w:t>
            </w:r>
          </w:p>
          <w:p w14:paraId="170AD2CA" w14:textId="77777777" w:rsidR="00EC210E" w:rsidRDefault="00EC210E">
            <w:pPr>
              <w:rPr>
                <w:b w:val="0"/>
              </w:rPr>
            </w:pPr>
            <w:r>
              <w:rPr>
                <w:b w:val="0"/>
                <w:color w:val="000000"/>
              </w:rPr>
              <w:t>Fine, M. &amp; Torre, M.E. (2006). Intimate Details: participatory action research in prison. Action Research, 4(3), 253-269.</w:t>
            </w:r>
          </w:p>
          <w:p w14:paraId="15454988" w14:textId="77777777" w:rsidR="00EC210E" w:rsidRDefault="00EC210E">
            <w:pPr>
              <w:widowControl w:val="0"/>
              <w:autoSpaceDE w:val="0"/>
              <w:autoSpaceDN w:val="0"/>
              <w:adjustRightInd w:val="0"/>
              <w:rPr>
                <w:rFonts w:cs="Arial"/>
                <w:szCs w:val="24"/>
              </w:rPr>
            </w:pPr>
          </w:p>
        </w:tc>
      </w:tr>
      <w:tr w:rsidR="00016C28" w14:paraId="06630089" w14:textId="77777777" w:rsidTr="00016C28">
        <w:tc>
          <w:tcPr>
            <w:tcW w:w="959" w:type="dxa"/>
            <w:tcBorders>
              <w:top w:val="single" w:sz="4" w:space="0" w:color="auto"/>
              <w:left w:val="single" w:sz="4" w:space="0" w:color="auto"/>
              <w:bottom w:val="single" w:sz="4" w:space="0" w:color="auto"/>
              <w:right w:val="single" w:sz="4" w:space="0" w:color="auto"/>
            </w:tcBorders>
            <w:hideMark/>
          </w:tcPr>
          <w:p w14:paraId="2EA46A7B" w14:textId="26592B9F" w:rsidR="00016C28" w:rsidRDefault="00016C28" w:rsidP="00C97DBF">
            <w:pPr>
              <w:widowControl w:val="0"/>
              <w:autoSpaceDE w:val="0"/>
              <w:autoSpaceDN w:val="0"/>
              <w:adjustRightInd w:val="0"/>
              <w:jc w:val="center"/>
              <w:rPr>
                <w:rFonts w:cs="Arial"/>
                <w:b w:val="0"/>
                <w:szCs w:val="24"/>
              </w:rPr>
            </w:pPr>
            <w:r>
              <w:rPr>
                <w:rFonts w:cs="Arial"/>
                <w:b w:val="0"/>
                <w:szCs w:val="24"/>
              </w:rPr>
              <w:t>13</w:t>
            </w:r>
          </w:p>
        </w:tc>
        <w:tc>
          <w:tcPr>
            <w:tcW w:w="1134" w:type="dxa"/>
            <w:tcBorders>
              <w:top w:val="single" w:sz="4" w:space="0" w:color="auto"/>
              <w:left w:val="single" w:sz="4" w:space="0" w:color="auto"/>
              <w:bottom w:val="single" w:sz="4" w:space="0" w:color="auto"/>
              <w:right w:val="single" w:sz="4" w:space="0" w:color="auto"/>
            </w:tcBorders>
          </w:tcPr>
          <w:p w14:paraId="7495BE9B" w14:textId="6B7CA8EE" w:rsidR="00016C28" w:rsidRDefault="00016C28" w:rsidP="00C97DBF">
            <w:pPr>
              <w:widowControl w:val="0"/>
              <w:autoSpaceDE w:val="0"/>
              <w:autoSpaceDN w:val="0"/>
              <w:adjustRightInd w:val="0"/>
              <w:rPr>
                <w:rFonts w:cs="Arial"/>
                <w:b w:val="0"/>
                <w:szCs w:val="24"/>
              </w:rPr>
            </w:pPr>
            <w:r>
              <w:rPr>
                <w:rFonts w:cs="Arial"/>
                <w:b w:val="0"/>
                <w:szCs w:val="24"/>
              </w:rPr>
              <w:t>Apr 9</w:t>
            </w:r>
          </w:p>
        </w:tc>
        <w:tc>
          <w:tcPr>
            <w:tcW w:w="4109" w:type="dxa"/>
            <w:tcBorders>
              <w:top w:val="single" w:sz="4" w:space="0" w:color="auto"/>
              <w:left w:val="single" w:sz="4" w:space="0" w:color="auto"/>
              <w:bottom w:val="single" w:sz="4" w:space="0" w:color="auto"/>
              <w:right w:val="single" w:sz="4" w:space="0" w:color="auto"/>
            </w:tcBorders>
          </w:tcPr>
          <w:p w14:paraId="2869A507" w14:textId="0DE47ACA" w:rsidR="00016C28" w:rsidRDefault="00016C28" w:rsidP="00016C28">
            <w:pPr>
              <w:rPr>
                <w:rFonts w:cs="Arial"/>
                <w:b w:val="0"/>
                <w:szCs w:val="24"/>
                <w:lang w:val="en-CA"/>
              </w:rPr>
            </w:pPr>
            <w:r>
              <w:rPr>
                <w:rFonts w:cs="Arial"/>
                <w:b w:val="0"/>
                <w:szCs w:val="24"/>
                <w:lang w:val="en-CA"/>
              </w:rPr>
              <w:t>CBR and Social Change: Tensions and Possibilities</w:t>
            </w:r>
          </w:p>
          <w:p w14:paraId="3033B98C" w14:textId="77777777" w:rsidR="00016C28" w:rsidRDefault="00016C28" w:rsidP="00016C28">
            <w:pPr>
              <w:rPr>
                <w:rFonts w:cs="Arial"/>
                <w:b w:val="0"/>
                <w:szCs w:val="24"/>
                <w:lang w:val="en-CA"/>
              </w:rPr>
            </w:pPr>
          </w:p>
        </w:tc>
        <w:tc>
          <w:tcPr>
            <w:tcW w:w="3683" w:type="dxa"/>
            <w:tcBorders>
              <w:top w:val="single" w:sz="4" w:space="0" w:color="auto"/>
              <w:left w:val="single" w:sz="4" w:space="0" w:color="auto"/>
              <w:bottom w:val="single" w:sz="4" w:space="0" w:color="auto"/>
              <w:right w:val="single" w:sz="4" w:space="0" w:color="auto"/>
            </w:tcBorders>
          </w:tcPr>
          <w:p w14:paraId="575C2E24" w14:textId="35B4A3C8" w:rsidR="00016C28" w:rsidRPr="00387C97" w:rsidRDefault="00387C97" w:rsidP="00016C28">
            <w:pPr>
              <w:rPr>
                <w:rFonts w:cs="Arial"/>
                <w:b w:val="0"/>
                <w:szCs w:val="24"/>
              </w:rPr>
            </w:pPr>
            <w:r>
              <w:rPr>
                <w:rFonts w:cs="Arial"/>
                <w:b w:val="0"/>
                <w:szCs w:val="24"/>
              </w:rPr>
              <w:t>Chapter 15 in C. Etmanksi et al al.</w:t>
            </w:r>
          </w:p>
        </w:tc>
      </w:tr>
    </w:tbl>
    <w:p w14:paraId="5C6C1D7A" w14:textId="4D4855AE" w:rsidR="006428F9" w:rsidRDefault="006428F9"/>
    <w:sectPr w:rsidR="006428F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panose1 w:val="020B0609070205080204"/>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ode2000">
    <w:altName w:val="Malgun Gothic"/>
    <w:panose1 w:val="00000000000000000000"/>
    <w:charset w:val="81"/>
    <w:family w:val="auto"/>
    <w:notTrueType/>
    <w:pitch w:val="default"/>
    <w:sig w:usb0="00000000" w:usb1="09060000" w:usb2="00000010" w:usb3="00000000" w:csb0="0008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03517DC"/>
    <w:multiLevelType w:val="hybridMultilevel"/>
    <w:tmpl w:val="1F3A58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9762E2"/>
    <w:multiLevelType w:val="hybridMultilevel"/>
    <w:tmpl w:val="9056D5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83A29A5"/>
    <w:multiLevelType w:val="hybridMultilevel"/>
    <w:tmpl w:val="2EBAF7A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D70E38"/>
    <w:multiLevelType w:val="hybridMultilevel"/>
    <w:tmpl w:val="455E99B6"/>
    <w:lvl w:ilvl="0" w:tplc="59E62906">
      <w:start w:val="1"/>
      <w:numFmt w:val="upperLetter"/>
      <w:lvlText w:val="%1."/>
      <w:lvlJc w:val="left"/>
      <w:pPr>
        <w:tabs>
          <w:tab w:val="num" w:pos="720"/>
        </w:tabs>
        <w:ind w:left="720" w:hanging="360"/>
      </w:pPr>
      <w:rPr>
        <w:rFonts w:ascii="Arial" w:eastAsia="Times New Roman" w:hAnsi="Arial"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209F306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2B11EB7"/>
    <w:multiLevelType w:val="hybridMultilevel"/>
    <w:tmpl w:val="300CC9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nsid w:val="436E0946"/>
    <w:multiLevelType w:val="hybridMultilevel"/>
    <w:tmpl w:val="08F86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000209"/>
    <w:multiLevelType w:val="hybridMultilevel"/>
    <w:tmpl w:val="6EECECA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nsid w:val="67EF0755"/>
    <w:multiLevelType w:val="hybridMultilevel"/>
    <w:tmpl w:val="05829B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9"/>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0"/>
  </w:num>
  <w:num w:numId="10">
    <w:abstractNumId w:val="2"/>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10E"/>
    <w:rsid w:val="00016C28"/>
    <w:rsid w:val="000254C8"/>
    <w:rsid w:val="000C4CF9"/>
    <w:rsid w:val="001A70D5"/>
    <w:rsid w:val="00210E6C"/>
    <w:rsid w:val="00272455"/>
    <w:rsid w:val="003404C1"/>
    <w:rsid w:val="00387C97"/>
    <w:rsid w:val="00522E87"/>
    <w:rsid w:val="006232E1"/>
    <w:rsid w:val="00637D11"/>
    <w:rsid w:val="006428F9"/>
    <w:rsid w:val="007606F9"/>
    <w:rsid w:val="00783A7C"/>
    <w:rsid w:val="00805E96"/>
    <w:rsid w:val="008A087F"/>
    <w:rsid w:val="009E3B57"/>
    <w:rsid w:val="00A324BD"/>
    <w:rsid w:val="00A9796C"/>
    <w:rsid w:val="00B05F28"/>
    <w:rsid w:val="00B123AA"/>
    <w:rsid w:val="00BF57BF"/>
    <w:rsid w:val="00D035D9"/>
    <w:rsid w:val="00D26847"/>
    <w:rsid w:val="00D57E4F"/>
    <w:rsid w:val="00E55D11"/>
    <w:rsid w:val="00EC210E"/>
    <w:rsid w:val="00EC304B"/>
    <w:rsid w:val="00F213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8A7177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C210E"/>
    <w:pPr>
      <w:spacing w:after="0" w:line="240" w:lineRule="auto"/>
    </w:pPr>
    <w:rPr>
      <w:rFonts w:ascii="Arial" w:eastAsia="Times New Roman" w:hAnsi="Arial" w:cs="Times New Roman"/>
      <w:b/>
      <w:sz w:val="24"/>
      <w:szCs w:val="20"/>
      <w:lang w:val="en-US"/>
    </w:rPr>
  </w:style>
  <w:style w:type="paragraph" w:styleId="Heading1">
    <w:name w:val="heading 1"/>
    <w:basedOn w:val="Normal"/>
    <w:next w:val="Normal"/>
    <w:link w:val="Heading1Char"/>
    <w:uiPriority w:val="9"/>
    <w:qFormat/>
    <w:rsid w:val="00EC210E"/>
    <w:pPr>
      <w:keepNext/>
      <w:keepLines/>
      <w:spacing w:before="480"/>
      <w:jc w:val="center"/>
      <w:outlineLvl w:val="0"/>
    </w:pPr>
    <w:rPr>
      <w:rFonts w:eastAsia="MS Gothic"/>
      <w:bCs/>
      <w:color w:val="000000"/>
      <w:sz w:val="30"/>
      <w:szCs w:val="32"/>
    </w:rPr>
  </w:style>
  <w:style w:type="paragraph" w:styleId="Heading2">
    <w:name w:val="heading 2"/>
    <w:next w:val="Normal"/>
    <w:link w:val="Heading2Char"/>
    <w:semiHidden/>
    <w:unhideWhenUsed/>
    <w:qFormat/>
    <w:rsid w:val="00EC210E"/>
    <w:pPr>
      <w:keepNext/>
      <w:widowControl w:val="0"/>
      <w:tabs>
        <w:tab w:val="left" w:pos="-1152"/>
        <w:tab w:val="left" w:pos="-568"/>
        <w:tab w:val="left" w:pos="3240"/>
        <w:tab w:val="left" w:pos="5040"/>
        <w:tab w:val="left" w:pos="7352"/>
        <w:tab w:val="left" w:pos="8072"/>
        <w:tab w:val="left" w:pos="8792"/>
      </w:tabs>
      <w:autoSpaceDE w:val="0"/>
      <w:autoSpaceDN w:val="0"/>
      <w:adjustRightInd w:val="0"/>
      <w:spacing w:after="0" w:line="240" w:lineRule="auto"/>
      <w:outlineLvl w:val="1"/>
    </w:pPr>
    <w:rPr>
      <w:rFonts w:ascii="Arial" w:eastAsia="Times New Roman" w:hAnsi="Arial" w:cs="Times New Roman"/>
      <w:b/>
      <w:bCs/>
      <w:sz w:val="24"/>
      <w:szCs w:val="20"/>
      <w:lang w:val="en-GB"/>
    </w:rPr>
  </w:style>
  <w:style w:type="paragraph" w:styleId="Heading4">
    <w:name w:val="heading 4"/>
    <w:basedOn w:val="Normal"/>
    <w:next w:val="Normal"/>
    <w:link w:val="Heading4Char"/>
    <w:uiPriority w:val="9"/>
    <w:unhideWhenUsed/>
    <w:qFormat/>
    <w:rsid w:val="003404C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10E"/>
    <w:rPr>
      <w:rFonts w:ascii="Arial" w:eastAsia="MS Gothic" w:hAnsi="Arial" w:cs="Times New Roman"/>
      <w:b/>
      <w:bCs/>
      <w:color w:val="000000"/>
      <w:sz w:val="30"/>
      <w:szCs w:val="32"/>
      <w:lang w:val="en-US"/>
    </w:rPr>
  </w:style>
  <w:style w:type="character" w:customStyle="1" w:styleId="Heading2Char">
    <w:name w:val="Heading 2 Char"/>
    <w:basedOn w:val="DefaultParagraphFont"/>
    <w:link w:val="Heading2"/>
    <w:semiHidden/>
    <w:rsid w:val="00EC210E"/>
    <w:rPr>
      <w:rFonts w:ascii="Arial" w:eastAsia="Times New Roman" w:hAnsi="Arial" w:cs="Times New Roman"/>
      <w:b/>
      <w:bCs/>
      <w:sz w:val="24"/>
      <w:szCs w:val="20"/>
      <w:lang w:val="en-GB"/>
    </w:rPr>
  </w:style>
  <w:style w:type="character" w:styleId="Hyperlink">
    <w:name w:val="Hyperlink"/>
    <w:uiPriority w:val="99"/>
    <w:unhideWhenUsed/>
    <w:rsid w:val="00EC210E"/>
    <w:rPr>
      <w:color w:val="0000FF"/>
      <w:u w:val="single"/>
    </w:rPr>
  </w:style>
  <w:style w:type="paragraph" w:styleId="TOC1">
    <w:name w:val="toc 1"/>
    <w:basedOn w:val="Normal"/>
    <w:next w:val="Normal"/>
    <w:autoRedefine/>
    <w:uiPriority w:val="39"/>
    <w:unhideWhenUsed/>
    <w:rsid w:val="00EC210E"/>
    <w:pPr>
      <w:spacing w:before="120"/>
    </w:pPr>
    <w:rPr>
      <w:rFonts w:asciiTheme="minorHAnsi" w:hAnsiTheme="minorHAnsi"/>
      <w:szCs w:val="24"/>
    </w:rPr>
  </w:style>
  <w:style w:type="paragraph" w:styleId="TOC2">
    <w:name w:val="toc 2"/>
    <w:basedOn w:val="Normal"/>
    <w:next w:val="Normal"/>
    <w:autoRedefine/>
    <w:uiPriority w:val="39"/>
    <w:unhideWhenUsed/>
    <w:rsid w:val="00EC210E"/>
    <w:pPr>
      <w:ind w:left="240"/>
    </w:pPr>
    <w:rPr>
      <w:rFonts w:asciiTheme="minorHAnsi" w:hAnsiTheme="minorHAnsi"/>
      <w:sz w:val="22"/>
      <w:szCs w:val="22"/>
    </w:rPr>
  </w:style>
  <w:style w:type="paragraph" w:styleId="BodyTextIndent">
    <w:name w:val="Body Text Indent"/>
    <w:basedOn w:val="Normal"/>
    <w:link w:val="BodyTextIndentChar"/>
    <w:unhideWhenUsed/>
    <w:rsid w:val="00EC210E"/>
    <w:pPr>
      <w:spacing w:after="120"/>
      <w:ind w:left="360"/>
    </w:pPr>
    <w:rPr>
      <w:szCs w:val="24"/>
    </w:rPr>
  </w:style>
  <w:style w:type="character" w:customStyle="1" w:styleId="BodyTextIndentChar">
    <w:name w:val="Body Text Indent Char"/>
    <w:basedOn w:val="DefaultParagraphFont"/>
    <w:link w:val="BodyTextIndent"/>
    <w:rsid w:val="00EC210E"/>
    <w:rPr>
      <w:rFonts w:ascii="Arial" w:eastAsia="Times New Roman" w:hAnsi="Arial" w:cs="Times New Roman"/>
      <w:b/>
      <w:sz w:val="24"/>
      <w:szCs w:val="24"/>
      <w:lang w:val="en-US"/>
    </w:rPr>
  </w:style>
  <w:style w:type="paragraph" w:styleId="ListParagraph">
    <w:name w:val="List Paragraph"/>
    <w:basedOn w:val="Normal"/>
    <w:uiPriority w:val="34"/>
    <w:qFormat/>
    <w:rsid w:val="00EC210E"/>
    <w:pPr>
      <w:spacing w:after="200" w:line="276" w:lineRule="auto"/>
      <w:ind w:left="720"/>
      <w:contextualSpacing/>
    </w:pPr>
    <w:rPr>
      <w:rFonts w:ascii="Calibri" w:eastAsia="Calibri" w:hAnsi="Calibri"/>
      <w:sz w:val="22"/>
      <w:szCs w:val="22"/>
      <w:lang w:val="en-CA"/>
    </w:rPr>
  </w:style>
  <w:style w:type="paragraph" w:customStyle="1" w:styleId="Default">
    <w:name w:val="Default"/>
    <w:rsid w:val="00EC210E"/>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a">
    <w:name w:val="a"/>
    <w:basedOn w:val="DefaultParagraphFont"/>
    <w:rsid w:val="00EC210E"/>
  </w:style>
  <w:style w:type="character" w:customStyle="1" w:styleId="Heading4Char">
    <w:name w:val="Heading 4 Char"/>
    <w:basedOn w:val="DefaultParagraphFont"/>
    <w:link w:val="Heading4"/>
    <w:uiPriority w:val="9"/>
    <w:rsid w:val="003404C1"/>
    <w:rPr>
      <w:rFonts w:asciiTheme="majorHAnsi" w:eastAsiaTheme="majorEastAsia" w:hAnsiTheme="majorHAnsi" w:cstheme="majorBidi"/>
      <w:b/>
      <w:i/>
      <w:iCs/>
      <w:color w:val="365F91" w:themeColor="accent1" w:themeShade="B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75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cademicmatters.ca/2014/06/beyond-all-in-the-family-community-based-research-in-canada/" TargetMode="External"/><Relationship Id="rId12" Type="http://schemas.openxmlformats.org/officeDocument/2006/relationships/hyperlink" Target="http://www.coalitionplus.org/wordpress/wp-content/uploads/2012/07/GUIDEgb.pdf" TargetMode="External"/><Relationship Id="rId13" Type="http://schemas.openxmlformats.org/officeDocument/2006/relationships/hyperlink" Target="https://www.publicengagement.ac.uk/sites/default/files/publication/cbpr_ethics_guide_web_november_2012.pdf"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oleObject" Target="embeddings/oleObject1.bin"/><Relationship Id="rId8" Type="http://schemas.openxmlformats.org/officeDocument/2006/relationships/hyperlink" Target="mailto:sas@mcmaster.ca" TargetMode="External"/><Relationship Id="rId9" Type="http://schemas.openxmlformats.org/officeDocument/2006/relationships/hyperlink" Target="http://www.mcmaster.ca/policy/Students-AcademicStudies/AcademicAccommodation-StudentsWithDisabilities.pdf" TargetMode="External"/><Relationship Id="rId10" Type="http://schemas.openxmlformats.org/officeDocument/2006/relationships/hyperlink" Target="https://socialsciences.mcmaster.ca/current-students/ri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0E912-A91B-A347-A4E1-DC95FC8CE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3054</Words>
  <Characters>17410</Characters>
  <Application>Microsoft Macintosh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Saara</dc:creator>
  <cp:lastModifiedBy>Nick Marquis</cp:lastModifiedBy>
  <cp:revision>2</cp:revision>
  <dcterms:created xsi:type="dcterms:W3CDTF">2018-01-08T18:49:00Z</dcterms:created>
  <dcterms:modified xsi:type="dcterms:W3CDTF">2018-01-08T18:49:00Z</dcterms:modified>
</cp:coreProperties>
</file>